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787" w:rsidRPr="00C85787" w:rsidRDefault="00C85787" w:rsidP="00C85787">
      <w:pPr>
        <w:spacing w:before="120" w:after="120" w:line="240" w:lineRule="auto"/>
        <w:jc w:val="center"/>
        <w:rPr>
          <w:rFonts w:ascii="Cambria" w:hAnsi="Cambria"/>
          <w:b/>
          <w:color w:val="C00000"/>
          <w:sz w:val="24"/>
          <w:szCs w:val="24"/>
        </w:rPr>
      </w:pPr>
      <w:bookmarkStart w:id="0" w:name="_GoBack"/>
      <w:bookmarkEnd w:id="0"/>
      <w:r w:rsidRPr="00C85787">
        <w:rPr>
          <w:rFonts w:ascii="Cambria" w:hAnsi="Cambria"/>
          <w:b/>
          <w:color w:val="C00000"/>
          <w:sz w:val="24"/>
          <w:szCs w:val="24"/>
        </w:rPr>
        <w:t>Enregistrez autrement vos ressources et vos dépenses exceptionnelles</w:t>
      </w:r>
    </w:p>
    <w:p w:rsidR="00C85787" w:rsidRPr="00C85787" w:rsidRDefault="00C85787" w:rsidP="00C85787">
      <w:pPr>
        <w:spacing w:before="120" w:after="120" w:line="240" w:lineRule="auto"/>
        <w:jc w:val="center"/>
        <w:rPr>
          <w:rFonts w:ascii="Cambria" w:hAnsi="Cambria"/>
          <w:b/>
          <w:color w:val="C00000"/>
          <w:sz w:val="24"/>
          <w:szCs w:val="24"/>
        </w:rPr>
      </w:pPr>
    </w:p>
    <w:p w:rsidR="00C85787" w:rsidRPr="00C85787" w:rsidRDefault="00C85787" w:rsidP="00C85787">
      <w:pPr>
        <w:spacing w:before="120" w:after="120" w:line="240" w:lineRule="auto"/>
        <w:jc w:val="center"/>
        <w:rPr>
          <w:rFonts w:ascii="Cambria" w:hAnsi="Cambria"/>
          <w:b/>
          <w:color w:val="C00000"/>
          <w:sz w:val="24"/>
          <w:szCs w:val="24"/>
        </w:rPr>
      </w:pPr>
    </w:p>
    <w:p w:rsidR="00C85787" w:rsidRPr="00C85787" w:rsidRDefault="00C85787" w:rsidP="00C85787">
      <w:pPr>
        <w:tabs>
          <w:tab w:val="left" w:pos="709"/>
        </w:tabs>
        <w:spacing w:before="120" w:after="120" w:line="240" w:lineRule="auto"/>
        <w:ind w:left="567"/>
        <w:jc w:val="both"/>
        <w:rPr>
          <w:rFonts w:ascii="Cambria" w:hAnsi="Cambria"/>
          <w:b/>
          <w:color w:val="C00000"/>
          <w:sz w:val="24"/>
          <w:szCs w:val="24"/>
        </w:rPr>
      </w:pPr>
      <w:r w:rsidRPr="00C85787">
        <w:rPr>
          <w:rFonts w:ascii="Cambria" w:hAnsi="Cambria"/>
          <w:b/>
          <w:color w:val="C00000"/>
          <w:sz w:val="24"/>
          <w:szCs w:val="24"/>
        </w:rPr>
        <w:t>1. Présentation</w:t>
      </w:r>
    </w:p>
    <w:p w:rsidR="00C85787" w:rsidRPr="008E26AA" w:rsidRDefault="00C85787" w:rsidP="00C85787">
      <w:pPr>
        <w:spacing w:before="120" w:after="120" w:line="240" w:lineRule="auto"/>
        <w:ind w:left="567"/>
        <w:jc w:val="both"/>
        <w:rPr>
          <w:rFonts w:ascii="Cambria" w:hAnsi="Cambria"/>
          <w:sz w:val="24"/>
          <w:szCs w:val="24"/>
        </w:rPr>
      </w:pPr>
      <w:r w:rsidRPr="008E26AA">
        <w:rPr>
          <w:rFonts w:ascii="Cambria" w:hAnsi="Cambria"/>
          <w:sz w:val="24"/>
          <w:szCs w:val="24"/>
        </w:rPr>
        <w:t xml:space="preserve">Les opérations financières exceptionnelles telles qu’un héritage ou l’achat d’un objet coûteux (ex. automobile ou produit de gros électro-ménager) doivent être enregistrées ailleurs que dans le budget mensuel dès lors qu’elles portent sur un montant de 15 à 20% supérieur au montant moyen des ressources totales mensuelles. </w:t>
      </w:r>
    </w:p>
    <w:p w:rsidR="00C85787" w:rsidRPr="008E26AA" w:rsidRDefault="00C85787" w:rsidP="00C85787">
      <w:pPr>
        <w:spacing w:before="120" w:after="120" w:line="240" w:lineRule="auto"/>
        <w:ind w:left="567"/>
        <w:jc w:val="both"/>
        <w:rPr>
          <w:rFonts w:ascii="Cambria" w:hAnsi="Cambria"/>
          <w:sz w:val="24"/>
          <w:szCs w:val="24"/>
        </w:rPr>
      </w:pPr>
      <w:r w:rsidRPr="008E26AA">
        <w:rPr>
          <w:rFonts w:ascii="Cambria" w:hAnsi="Cambria"/>
          <w:sz w:val="24"/>
          <w:szCs w:val="24"/>
        </w:rPr>
        <w:t>Cette règle répond à trois logiques :</w:t>
      </w:r>
    </w:p>
    <w:p w:rsidR="00C85787" w:rsidRPr="008E26AA" w:rsidRDefault="00C85787" w:rsidP="00C85787">
      <w:pPr>
        <w:pStyle w:val="Paragraphedeliste"/>
        <w:numPr>
          <w:ilvl w:val="0"/>
          <w:numId w:val="13"/>
        </w:numPr>
        <w:tabs>
          <w:tab w:val="clear" w:pos="4536"/>
        </w:tabs>
        <w:spacing w:before="120" w:after="120" w:line="240" w:lineRule="auto"/>
        <w:ind w:left="1418"/>
        <w:contextualSpacing w:val="0"/>
        <w:jc w:val="both"/>
        <w:rPr>
          <w:rFonts w:ascii="Cambria" w:hAnsi="Cambria"/>
        </w:rPr>
      </w:pPr>
      <w:r w:rsidRPr="008E26AA">
        <w:rPr>
          <w:rFonts w:ascii="Cambria" w:hAnsi="Cambria"/>
        </w:rPr>
        <w:t xml:space="preserve">Si une ressource ou une dépense importante et exceptionnelle était traitée dans le budget courant, elle introduirait un biais dans les comparaisons de ce budget avec celui des mois précédents ou suivants : elle en perturberait fortement la continuité et donc la signification ; </w:t>
      </w:r>
    </w:p>
    <w:p w:rsidR="00C85787" w:rsidRPr="008E26AA" w:rsidRDefault="00C85787" w:rsidP="00C85787">
      <w:pPr>
        <w:pStyle w:val="Paragraphedeliste"/>
        <w:numPr>
          <w:ilvl w:val="0"/>
          <w:numId w:val="13"/>
        </w:numPr>
        <w:tabs>
          <w:tab w:val="clear" w:pos="4536"/>
        </w:tabs>
        <w:spacing w:before="120" w:after="120" w:line="240" w:lineRule="auto"/>
        <w:ind w:left="1418"/>
        <w:contextualSpacing w:val="0"/>
        <w:jc w:val="both"/>
        <w:rPr>
          <w:rFonts w:ascii="Cambria" w:hAnsi="Cambria"/>
        </w:rPr>
      </w:pPr>
      <w:r w:rsidRPr="008E26AA">
        <w:rPr>
          <w:rFonts w:ascii="Cambria" w:hAnsi="Cambria"/>
        </w:rPr>
        <w:t>Le plus souvent, ces ressources ou ces dépenses exceptionnelles et importantes viennent modifier la composition du patrimoine : elles augmentent ou diminuent la valeur de l’actif (les biens possédés) et, parfois, celle du passif (les dettes) ou encore elle modifie leur composition : elles ont donc vocation à être traitées en totalité dans ce compartiment du patrimoine ;</w:t>
      </w:r>
    </w:p>
    <w:p w:rsidR="00C85787" w:rsidRPr="008E26AA" w:rsidRDefault="00C85787" w:rsidP="00C85787">
      <w:pPr>
        <w:pStyle w:val="Paragraphedeliste"/>
        <w:numPr>
          <w:ilvl w:val="0"/>
          <w:numId w:val="13"/>
        </w:numPr>
        <w:tabs>
          <w:tab w:val="clear" w:pos="4536"/>
        </w:tabs>
        <w:spacing w:before="120" w:after="120" w:line="240" w:lineRule="auto"/>
        <w:ind w:left="1418"/>
        <w:contextualSpacing w:val="0"/>
        <w:jc w:val="both"/>
        <w:rPr>
          <w:rFonts w:ascii="Cambria" w:hAnsi="Cambria"/>
        </w:rPr>
      </w:pPr>
      <w:r w:rsidRPr="008E26AA">
        <w:rPr>
          <w:rFonts w:ascii="Cambria" w:hAnsi="Cambria"/>
        </w:rPr>
        <w:t xml:space="preserve">Le fait d’être traitées à part dans ce compartiment oblige à faire une réflexion spécifique sur les questions : que vais-je faire de cette ressource exceptionnelle ? Et surtout : comment vais-je financer cette dépense exceptionnelle ? Une absence de réflexion sur ce point conduit souvent à déséquilibrer la trésorerie, et à recourir à des crédits inadaptés et dangereux. </w:t>
      </w:r>
    </w:p>
    <w:p w:rsidR="00C85787" w:rsidRPr="008E26AA" w:rsidRDefault="00C85787" w:rsidP="00C85787">
      <w:pPr>
        <w:spacing w:before="120" w:after="120" w:line="240" w:lineRule="auto"/>
        <w:ind w:left="851"/>
        <w:jc w:val="both"/>
        <w:rPr>
          <w:rFonts w:ascii="Cambria" w:hAnsi="Cambria"/>
          <w:sz w:val="24"/>
          <w:szCs w:val="24"/>
        </w:rPr>
      </w:pPr>
    </w:p>
    <w:p w:rsidR="00C85787" w:rsidRPr="00C85787" w:rsidRDefault="00C85787" w:rsidP="00C85787">
      <w:pPr>
        <w:spacing w:before="120" w:after="120" w:line="240" w:lineRule="auto"/>
        <w:ind w:left="567"/>
        <w:jc w:val="both"/>
        <w:rPr>
          <w:rFonts w:ascii="Cambria" w:hAnsi="Cambria"/>
          <w:b/>
          <w:color w:val="C00000"/>
          <w:sz w:val="24"/>
          <w:szCs w:val="24"/>
        </w:rPr>
      </w:pPr>
      <w:r w:rsidRPr="00C85787">
        <w:rPr>
          <w:rFonts w:ascii="Cambria" w:hAnsi="Cambria"/>
          <w:b/>
          <w:color w:val="C00000"/>
          <w:sz w:val="24"/>
          <w:szCs w:val="24"/>
        </w:rPr>
        <w:t xml:space="preserve">2. Où et comment enregistrer ces opérations exceptionnelles ? </w:t>
      </w:r>
    </w:p>
    <w:p w:rsidR="00C85787" w:rsidRPr="008E26AA" w:rsidRDefault="00C85787" w:rsidP="00C85787">
      <w:pPr>
        <w:spacing w:before="120" w:after="120" w:line="240" w:lineRule="auto"/>
        <w:ind w:left="567"/>
        <w:jc w:val="both"/>
        <w:rPr>
          <w:rFonts w:ascii="Cambria" w:hAnsi="Cambria"/>
          <w:sz w:val="24"/>
          <w:szCs w:val="24"/>
        </w:rPr>
      </w:pPr>
      <w:r w:rsidRPr="008E26AA">
        <w:rPr>
          <w:rFonts w:ascii="Cambria" w:hAnsi="Cambria"/>
          <w:sz w:val="24"/>
          <w:szCs w:val="24"/>
        </w:rPr>
        <w:t xml:space="preserve">Prenons un exemple. </w:t>
      </w:r>
    </w:p>
    <w:p w:rsidR="00C85787" w:rsidRPr="008E26AA" w:rsidRDefault="00C85787" w:rsidP="00C85787">
      <w:pPr>
        <w:spacing w:before="120" w:after="120" w:line="240" w:lineRule="auto"/>
        <w:ind w:left="567"/>
        <w:jc w:val="both"/>
        <w:rPr>
          <w:rFonts w:ascii="Cambria" w:hAnsi="Cambria"/>
          <w:sz w:val="24"/>
          <w:szCs w:val="24"/>
        </w:rPr>
      </w:pPr>
      <w:r w:rsidRPr="008E26AA">
        <w:rPr>
          <w:rFonts w:ascii="Cambria" w:hAnsi="Cambria"/>
          <w:sz w:val="24"/>
          <w:szCs w:val="24"/>
        </w:rPr>
        <w:t xml:space="preserve">Sofia, 27 ans, est infirmière à domicile en milieu semi-rural. Elle doit acquérir un nouveau véhicule automobile pour remplacer l’ancien qui est usagé et ne lui permet plus de travailler dans des conditions de sécurité satisfaisantes. Elle achète une automobile d’occasion pour 12.000€ et revend son ancienne 3.000€. Ses revenus mensuels nets (déduction faite de ses frais professionnels) sont de 1950€/mois. </w:t>
      </w:r>
    </w:p>
    <w:p w:rsidR="00C85787" w:rsidRPr="008E26AA" w:rsidRDefault="00C85787" w:rsidP="00C85787">
      <w:pPr>
        <w:pStyle w:val="Paragraphedeliste"/>
        <w:numPr>
          <w:ilvl w:val="0"/>
          <w:numId w:val="0"/>
        </w:numPr>
        <w:spacing w:before="120" w:after="120" w:line="240" w:lineRule="auto"/>
        <w:ind w:left="567"/>
        <w:contextualSpacing w:val="0"/>
        <w:rPr>
          <w:rFonts w:ascii="Cambria" w:hAnsi="Cambria"/>
        </w:rPr>
      </w:pPr>
      <w:r w:rsidRPr="008E26AA">
        <w:rPr>
          <w:rFonts w:ascii="Cambria" w:hAnsi="Cambria"/>
        </w:rPr>
        <w:t xml:space="preserve">Il s’agit bien d’un achat exceptionnel dont le coût excède largement le quart des ressources mensuelles de Sofia. </w:t>
      </w:r>
    </w:p>
    <w:p w:rsidR="00C85787" w:rsidRPr="008E26AA" w:rsidRDefault="00C85787" w:rsidP="00C85787">
      <w:pPr>
        <w:pStyle w:val="Paragraphedeliste"/>
        <w:numPr>
          <w:ilvl w:val="0"/>
          <w:numId w:val="0"/>
        </w:numPr>
        <w:spacing w:before="120" w:after="120" w:line="240" w:lineRule="auto"/>
        <w:ind w:left="567"/>
        <w:contextualSpacing w:val="0"/>
        <w:rPr>
          <w:rFonts w:ascii="Cambria" w:hAnsi="Cambria"/>
        </w:rPr>
      </w:pPr>
      <w:r w:rsidRPr="008E26AA">
        <w:rPr>
          <w:rFonts w:ascii="Cambria" w:hAnsi="Cambria"/>
        </w:rPr>
        <w:t xml:space="preserve">Celle-ci va donc enregistrer cet achat </w:t>
      </w:r>
      <w:r w:rsidRPr="008E26AA">
        <w:rPr>
          <w:rFonts w:ascii="Cambria" w:hAnsi="Cambria"/>
          <w:i/>
        </w:rPr>
        <w:t>dans son patrimoine</w:t>
      </w:r>
      <w:r w:rsidRPr="008E26AA">
        <w:rPr>
          <w:rFonts w:ascii="Cambria" w:hAnsi="Cambria"/>
        </w:rPr>
        <w:t>, et non</w:t>
      </w:r>
      <w:r w:rsidRPr="008E26AA">
        <w:rPr>
          <w:rFonts w:ascii="Cambria" w:hAnsi="Cambria"/>
          <w:i/>
        </w:rPr>
        <w:t xml:space="preserve"> via</w:t>
      </w:r>
      <w:r w:rsidRPr="008E26AA">
        <w:rPr>
          <w:rFonts w:ascii="Cambria" w:hAnsi="Cambria"/>
        </w:rPr>
        <w:t xml:space="preserve"> son budget mensuel : </w:t>
      </w:r>
    </w:p>
    <w:p w:rsidR="00C85787" w:rsidRPr="008E26AA" w:rsidRDefault="00C85787" w:rsidP="00C85787">
      <w:pPr>
        <w:pStyle w:val="Paragraphedeliste"/>
        <w:numPr>
          <w:ilvl w:val="0"/>
          <w:numId w:val="10"/>
        </w:numPr>
        <w:tabs>
          <w:tab w:val="clear" w:pos="4536"/>
        </w:tabs>
        <w:spacing w:before="120" w:after="120" w:line="240" w:lineRule="auto"/>
        <w:ind w:left="1418"/>
        <w:contextualSpacing w:val="0"/>
        <w:jc w:val="both"/>
        <w:rPr>
          <w:rFonts w:ascii="Cambria" w:hAnsi="Cambria"/>
        </w:rPr>
      </w:pPr>
      <w:r w:rsidRPr="008E26AA">
        <w:rPr>
          <w:rFonts w:ascii="Cambria" w:hAnsi="Cambria"/>
        </w:rPr>
        <w:t>Elle remplace un véhicule ancien qui valait 3.000€ par un nouveau d’occasion qui vaut 12.000€.</w:t>
      </w:r>
    </w:p>
    <w:p w:rsidR="00C85787" w:rsidRPr="008E26AA" w:rsidRDefault="00C85787" w:rsidP="00C85787">
      <w:pPr>
        <w:pStyle w:val="Paragraphedeliste"/>
        <w:numPr>
          <w:ilvl w:val="0"/>
          <w:numId w:val="10"/>
        </w:numPr>
        <w:tabs>
          <w:tab w:val="clear" w:pos="4536"/>
        </w:tabs>
        <w:spacing w:before="120" w:after="120" w:line="240" w:lineRule="auto"/>
        <w:ind w:left="1418"/>
        <w:contextualSpacing w:val="0"/>
        <w:jc w:val="both"/>
        <w:rPr>
          <w:rFonts w:ascii="Cambria" w:hAnsi="Cambria"/>
        </w:rPr>
      </w:pPr>
      <w:r w:rsidRPr="008E26AA">
        <w:rPr>
          <w:rFonts w:ascii="Cambria" w:hAnsi="Cambria"/>
        </w:rPr>
        <w:t>Pour payer les 9.000€ de l’acquisition (12.000€ d’achat – 3.000€ de revente), elle décide de payer cette somme :</w:t>
      </w:r>
    </w:p>
    <w:p w:rsidR="00C85787" w:rsidRPr="008E26AA" w:rsidRDefault="00C85787" w:rsidP="00C85787">
      <w:pPr>
        <w:pStyle w:val="Paragraphedeliste"/>
        <w:numPr>
          <w:ilvl w:val="1"/>
          <w:numId w:val="10"/>
        </w:numPr>
        <w:tabs>
          <w:tab w:val="clear" w:pos="4536"/>
        </w:tabs>
        <w:spacing w:before="120" w:after="120" w:line="240" w:lineRule="auto"/>
        <w:ind w:left="1985"/>
        <w:contextualSpacing w:val="0"/>
        <w:jc w:val="both"/>
        <w:rPr>
          <w:rFonts w:ascii="Cambria" w:hAnsi="Cambria"/>
        </w:rPr>
      </w:pPr>
      <w:r w:rsidRPr="008E26AA">
        <w:rPr>
          <w:rFonts w:ascii="Cambria" w:hAnsi="Cambria"/>
        </w:rPr>
        <w:lastRenderedPageBreak/>
        <w:t xml:space="preserve">En puisant dans l’épargne qu’elle avait accumulée depuis deux ans en prévision de cet achat à hauteur de 4.000€ ; </w:t>
      </w:r>
    </w:p>
    <w:p w:rsidR="00C85787" w:rsidRPr="008E26AA" w:rsidRDefault="00C85787" w:rsidP="00C85787">
      <w:pPr>
        <w:pStyle w:val="Paragraphedeliste"/>
        <w:numPr>
          <w:ilvl w:val="1"/>
          <w:numId w:val="10"/>
        </w:numPr>
        <w:tabs>
          <w:tab w:val="clear" w:pos="4536"/>
        </w:tabs>
        <w:spacing w:before="120" w:after="120" w:line="240" w:lineRule="auto"/>
        <w:ind w:left="1985"/>
        <w:contextualSpacing w:val="0"/>
        <w:jc w:val="both"/>
        <w:rPr>
          <w:rFonts w:ascii="Cambria" w:hAnsi="Cambria"/>
        </w:rPr>
      </w:pPr>
      <w:r w:rsidRPr="008E26AA">
        <w:rPr>
          <w:rFonts w:ascii="Cambria" w:hAnsi="Cambria"/>
        </w:rPr>
        <w:t xml:space="preserve">Et en contractant un crédit auto à hauteur de 5.000€ remboursable en deux ans dont la mensualité est de 218€.  </w:t>
      </w:r>
    </w:p>
    <w:p w:rsidR="00C85787" w:rsidRPr="008E26AA" w:rsidRDefault="00C85787" w:rsidP="00C85787">
      <w:pPr>
        <w:spacing w:before="120" w:after="120" w:line="240" w:lineRule="auto"/>
        <w:ind w:left="1418"/>
        <w:jc w:val="both"/>
        <w:rPr>
          <w:rFonts w:ascii="Cambria" w:hAnsi="Cambria"/>
          <w:sz w:val="24"/>
          <w:szCs w:val="24"/>
        </w:rPr>
      </w:pPr>
      <w:r w:rsidRPr="008E26AA">
        <w:rPr>
          <w:rFonts w:ascii="Cambria" w:hAnsi="Cambria"/>
          <w:sz w:val="24"/>
          <w:szCs w:val="24"/>
        </w:rPr>
        <w:t>Son patrimoine passe donc de l’état P1 à l’état P2 ci-dessous :</w:t>
      </w:r>
    </w:p>
    <w:tbl>
      <w:tblPr>
        <w:tblStyle w:val="Grilledutableau"/>
        <w:tblW w:w="9634" w:type="dxa"/>
        <w:tblLayout w:type="fixed"/>
        <w:tblLook w:val="04A0" w:firstRow="1" w:lastRow="0" w:firstColumn="1" w:lastColumn="0" w:noHBand="0" w:noVBand="1"/>
      </w:tblPr>
      <w:tblGrid>
        <w:gridCol w:w="1379"/>
        <w:gridCol w:w="1110"/>
        <w:gridCol w:w="1475"/>
        <w:gridCol w:w="567"/>
        <w:gridCol w:w="284"/>
        <w:gridCol w:w="1673"/>
        <w:gridCol w:w="1020"/>
        <w:gridCol w:w="1134"/>
        <w:gridCol w:w="992"/>
      </w:tblGrid>
      <w:tr w:rsidR="00C85787" w:rsidRPr="008E26AA" w:rsidTr="000800C8">
        <w:tc>
          <w:tcPr>
            <w:tcW w:w="4531" w:type="dxa"/>
            <w:gridSpan w:val="4"/>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 xml:space="preserve">P1. Patrimoine de Sofia avant acquisition auto (en euros) </w:t>
            </w:r>
          </w:p>
        </w:tc>
        <w:tc>
          <w:tcPr>
            <w:tcW w:w="284" w:type="dxa"/>
            <w:tcBorders>
              <w:top w:val="nil"/>
              <w:bottom w:val="nil"/>
            </w:tcBorders>
          </w:tcPr>
          <w:p w:rsidR="00C85787" w:rsidRPr="008E26AA" w:rsidRDefault="00C85787" w:rsidP="000800C8">
            <w:pPr>
              <w:spacing w:before="120" w:after="120"/>
              <w:ind w:left="142"/>
              <w:jc w:val="both"/>
              <w:rPr>
                <w:rFonts w:ascii="Cambria" w:hAnsi="Cambria"/>
                <w:sz w:val="24"/>
              </w:rPr>
            </w:pPr>
          </w:p>
        </w:tc>
        <w:tc>
          <w:tcPr>
            <w:tcW w:w="4819" w:type="dxa"/>
            <w:gridSpan w:val="4"/>
            <w:tcBorders>
              <w:bottom w:val="nil"/>
            </w:tcBorders>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P2. Patrimoine de Sofia après acquisition auto (euros)</w:t>
            </w:r>
          </w:p>
        </w:tc>
      </w:tr>
      <w:tr w:rsidR="00C85787" w:rsidRPr="008E26AA" w:rsidTr="000800C8">
        <w:tc>
          <w:tcPr>
            <w:tcW w:w="2489" w:type="dxa"/>
            <w:gridSpan w:val="2"/>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Actif</w:t>
            </w:r>
          </w:p>
        </w:tc>
        <w:tc>
          <w:tcPr>
            <w:tcW w:w="2042" w:type="dxa"/>
            <w:gridSpan w:val="2"/>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Passif</w:t>
            </w:r>
          </w:p>
        </w:tc>
        <w:tc>
          <w:tcPr>
            <w:tcW w:w="284" w:type="dxa"/>
            <w:tcBorders>
              <w:top w:val="nil"/>
              <w:bottom w:val="nil"/>
            </w:tcBorders>
          </w:tcPr>
          <w:p w:rsidR="00C85787" w:rsidRPr="008E26AA" w:rsidRDefault="00C85787" w:rsidP="000800C8">
            <w:pPr>
              <w:spacing w:before="120" w:after="120"/>
              <w:ind w:left="142"/>
              <w:jc w:val="both"/>
              <w:rPr>
                <w:rFonts w:ascii="Cambria" w:hAnsi="Cambria"/>
                <w:sz w:val="24"/>
              </w:rPr>
            </w:pPr>
          </w:p>
        </w:tc>
        <w:tc>
          <w:tcPr>
            <w:tcW w:w="2693" w:type="dxa"/>
            <w:gridSpan w:val="2"/>
            <w:tcBorders>
              <w:bottom w:val="nil"/>
            </w:tcBorders>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Actif</w:t>
            </w:r>
          </w:p>
        </w:tc>
        <w:tc>
          <w:tcPr>
            <w:tcW w:w="2126" w:type="dxa"/>
            <w:gridSpan w:val="2"/>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Passif</w:t>
            </w:r>
          </w:p>
        </w:tc>
      </w:tr>
      <w:tr w:rsidR="00C85787" w:rsidRPr="008E26AA" w:rsidTr="000800C8">
        <w:tc>
          <w:tcPr>
            <w:tcW w:w="1379"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 xml:space="preserve">Meubles </w:t>
            </w:r>
          </w:p>
        </w:tc>
        <w:tc>
          <w:tcPr>
            <w:tcW w:w="1110"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10.000</w:t>
            </w:r>
          </w:p>
        </w:tc>
        <w:tc>
          <w:tcPr>
            <w:tcW w:w="1475" w:type="dxa"/>
          </w:tcPr>
          <w:p w:rsidR="00C85787" w:rsidRPr="008E26AA" w:rsidRDefault="00C85787" w:rsidP="000800C8">
            <w:pPr>
              <w:spacing w:before="120" w:after="120"/>
              <w:ind w:left="142"/>
              <w:jc w:val="both"/>
              <w:rPr>
                <w:rFonts w:ascii="Cambria" w:hAnsi="Cambria"/>
                <w:sz w:val="24"/>
              </w:rPr>
            </w:pPr>
          </w:p>
        </w:tc>
        <w:tc>
          <w:tcPr>
            <w:tcW w:w="567" w:type="dxa"/>
          </w:tcPr>
          <w:p w:rsidR="00C85787" w:rsidRPr="008E26AA" w:rsidRDefault="00C85787" w:rsidP="000800C8">
            <w:pPr>
              <w:spacing w:before="120" w:after="120"/>
              <w:ind w:left="142"/>
              <w:jc w:val="both"/>
              <w:rPr>
                <w:rFonts w:ascii="Cambria" w:hAnsi="Cambria"/>
                <w:sz w:val="24"/>
              </w:rPr>
            </w:pPr>
          </w:p>
        </w:tc>
        <w:tc>
          <w:tcPr>
            <w:tcW w:w="284" w:type="dxa"/>
            <w:tcBorders>
              <w:top w:val="nil"/>
              <w:bottom w:val="nil"/>
            </w:tcBorders>
          </w:tcPr>
          <w:p w:rsidR="00C85787" w:rsidRPr="008E26AA" w:rsidRDefault="00C85787" w:rsidP="000800C8">
            <w:pPr>
              <w:spacing w:before="120" w:after="120"/>
              <w:ind w:left="142"/>
              <w:jc w:val="both"/>
              <w:rPr>
                <w:rFonts w:ascii="Cambria" w:hAnsi="Cambria"/>
                <w:sz w:val="24"/>
              </w:rPr>
            </w:pPr>
          </w:p>
        </w:tc>
        <w:tc>
          <w:tcPr>
            <w:tcW w:w="1673" w:type="dxa"/>
            <w:tcBorders>
              <w:bottom w:val="nil"/>
            </w:tcBorders>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Meubles</w:t>
            </w:r>
          </w:p>
        </w:tc>
        <w:tc>
          <w:tcPr>
            <w:tcW w:w="1020" w:type="dxa"/>
          </w:tcPr>
          <w:p w:rsidR="00C85787" w:rsidRPr="008E26AA" w:rsidRDefault="00C85787" w:rsidP="000800C8">
            <w:pPr>
              <w:spacing w:before="120" w:after="120"/>
              <w:jc w:val="both"/>
              <w:rPr>
                <w:rFonts w:ascii="Cambria" w:hAnsi="Cambria"/>
                <w:sz w:val="24"/>
              </w:rPr>
            </w:pPr>
            <w:r w:rsidRPr="008E26AA">
              <w:rPr>
                <w:rFonts w:ascii="Cambria" w:hAnsi="Cambria"/>
                <w:sz w:val="24"/>
              </w:rPr>
              <w:t>10.000</w:t>
            </w:r>
          </w:p>
        </w:tc>
        <w:tc>
          <w:tcPr>
            <w:tcW w:w="1134" w:type="dxa"/>
          </w:tcPr>
          <w:p w:rsidR="00C85787" w:rsidRPr="008E26AA" w:rsidRDefault="00C85787" w:rsidP="000800C8">
            <w:pPr>
              <w:spacing w:before="120" w:after="120"/>
              <w:jc w:val="both"/>
              <w:rPr>
                <w:rFonts w:ascii="Cambria" w:hAnsi="Cambria"/>
                <w:sz w:val="24"/>
              </w:rPr>
            </w:pPr>
            <w:r w:rsidRPr="008E26AA">
              <w:rPr>
                <w:rFonts w:ascii="Cambria" w:hAnsi="Cambria"/>
                <w:sz w:val="24"/>
              </w:rPr>
              <w:t xml:space="preserve">Crédit auto </w:t>
            </w:r>
          </w:p>
        </w:tc>
        <w:tc>
          <w:tcPr>
            <w:tcW w:w="992" w:type="dxa"/>
          </w:tcPr>
          <w:p w:rsidR="00C85787" w:rsidRPr="008E26AA" w:rsidRDefault="00C85787" w:rsidP="000800C8">
            <w:pPr>
              <w:spacing w:before="120" w:after="120"/>
              <w:jc w:val="both"/>
              <w:rPr>
                <w:rFonts w:ascii="Cambria" w:hAnsi="Cambria"/>
                <w:sz w:val="24"/>
              </w:rPr>
            </w:pPr>
            <w:r w:rsidRPr="008E26AA">
              <w:rPr>
                <w:rFonts w:ascii="Cambria" w:hAnsi="Cambria"/>
                <w:sz w:val="24"/>
              </w:rPr>
              <w:t>5.000</w:t>
            </w:r>
          </w:p>
        </w:tc>
      </w:tr>
      <w:tr w:rsidR="00C85787" w:rsidRPr="008E26AA" w:rsidTr="000800C8">
        <w:tc>
          <w:tcPr>
            <w:tcW w:w="1379"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Véhicule</w:t>
            </w:r>
          </w:p>
        </w:tc>
        <w:tc>
          <w:tcPr>
            <w:tcW w:w="1110"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3.000</w:t>
            </w:r>
          </w:p>
        </w:tc>
        <w:tc>
          <w:tcPr>
            <w:tcW w:w="1475" w:type="dxa"/>
          </w:tcPr>
          <w:p w:rsidR="00C85787" w:rsidRPr="008E26AA" w:rsidRDefault="00C85787" w:rsidP="000800C8">
            <w:pPr>
              <w:spacing w:before="120" w:after="120"/>
              <w:ind w:left="142"/>
              <w:jc w:val="both"/>
              <w:rPr>
                <w:rFonts w:ascii="Cambria" w:hAnsi="Cambria"/>
                <w:sz w:val="24"/>
              </w:rPr>
            </w:pPr>
          </w:p>
        </w:tc>
        <w:tc>
          <w:tcPr>
            <w:tcW w:w="567" w:type="dxa"/>
          </w:tcPr>
          <w:p w:rsidR="00C85787" w:rsidRPr="008E26AA" w:rsidRDefault="00C85787" w:rsidP="000800C8">
            <w:pPr>
              <w:spacing w:before="120" w:after="120"/>
              <w:jc w:val="both"/>
              <w:rPr>
                <w:rFonts w:ascii="Cambria" w:hAnsi="Cambria"/>
                <w:sz w:val="24"/>
              </w:rPr>
            </w:pPr>
          </w:p>
        </w:tc>
        <w:tc>
          <w:tcPr>
            <w:tcW w:w="284" w:type="dxa"/>
            <w:tcBorders>
              <w:top w:val="nil"/>
              <w:bottom w:val="nil"/>
            </w:tcBorders>
          </w:tcPr>
          <w:p w:rsidR="00C85787" w:rsidRPr="008E26AA" w:rsidRDefault="00C85787" w:rsidP="000800C8">
            <w:pPr>
              <w:spacing w:before="120" w:after="120"/>
              <w:ind w:left="142"/>
              <w:jc w:val="both"/>
              <w:rPr>
                <w:rFonts w:ascii="Cambria" w:hAnsi="Cambria"/>
                <w:sz w:val="24"/>
              </w:rPr>
            </w:pPr>
          </w:p>
        </w:tc>
        <w:tc>
          <w:tcPr>
            <w:tcW w:w="1673" w:type="dxa"/>
            <w:tcBorders>
              <w:bottom w:val="nil"/>
            </w:tcBorders>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Véhicules</w:t>
            </w:r>
          </w:p>
        </w:tc>
        <w:tc>
          <w:tcPr>
            <w:tcW w:w="1020" w:type="dxa"/>
          </w:tcPr>
          <w:p w:rsidR="00C85787" w:rsidRPr="008E26AA" w:rsidRDefault="00C85787" w:rsidP="000800C8">
            <w:pPr>
              <w:spacing w:before="120" w:after="120"/>
              <w:jc w:val="both"/>
              <w:rPr>
                <w:rFonts w:ascii="Cambria" w:hAnsi="Cambria"/>
                <w:sz w:val="24"/>
              </w:rPr>
            </w:pPr>
            <w:r w:rsidRPr="008E26AA">
              <w:rPr>
                <w:rFonts w:ascii="Cambria" w:hAnsi="Cambria"/>
                <w:sz w:val="24"/>
              </w:rPr>
              <w:t>12.000</w:t>
            </w:r>
          </w:p>
        </w:tc>
        <w:tc>
          <w:tcPr>
            <w:tcW w:w="1134" w:type="dxa"/>
          </w:tcPr>
          <w:p w:rsidR="00C85787" w:rsidRPr="008E26AA" w:rsidRDefault="00C85787" w:rsidP="000800C8">
            <w:pPr>
              <w:spacing w:before="120" w:after="120"/>
              <w:ind w:left="142"/>
              <w:jc w:val="both"/>
              <w:rPr>
                <w:rFonts w:ascii="Cambria" w:hAnsi="Cambria"/>
                <w:sz w:val="24"/>
              </w:rPr>
            </w:pPr>
          </w:p>
        </w:tc>
        <w:tc>
          <w:tcPr>
            <w:tcW w:w="992" w:type="dxa"/>
          </w:tcPr>
          <w:p w:rsidR="00C85787" w:rsidRPr="008E26AA" w:rsidRDefault="00C85787" w:rsidP="000800C8">
            <w:pPr>
              <w:spacing w:before="120" w:after="120"/>
              <w:ind w:left="142"/>
              <w:jc w:val="both"/>
              <w:rPr>
                <w:rFonts w:ascii="Cambria" w:hAnsi="Cambria"/>
                <w:sz w:val="24"/>
              </w:rPr>
            </w:pPr>
          </w:p>
        </w:tc>
      </w:tr>
      <w:tr w:rsidR="00C85787" w:rsidRPr="008E26AA" w:rsidTr="000800C8">
        <w:tc>
          <w:tcPr>
            <w:tcW w:w="1379"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 xml:space="preserve">Épargne </w:t>
            </w:r>
          </w:p>
        </w:tc>
        <w:tc>
          <w:tcPr>
            <w:tcW w:w="1110"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6.000</w:t>
            </w:r>
          </w:p>
        </w:tc>
        <w:tc>
          <w:tcPr>
            <w:tcW w:w="1475" w:type="dxa"/>
          </w:tcPr>
          <w:p w:rsidR="00C85787" w:rsidRPr="008E26AA" w:rsidRDefault="00C85787" w:rsidP="000800C8">
            <w:pPr>
              <w:spacing w:before="120" w:after="120"/>
              <w:ind w:left="142"/>
              <w:jc w:val="both"/>
              <w:rPr>
                <w:rFonts w:ascii="Cambria" w:hAnsi="Cambria"/>
                <w:sz w:val="24"/>
              </w:rPr>
            </w:pPr>
          </w:p>
        </w:tc>
        <w:tc>
          <w:tcPr>
            <w:tcW w:w="567" w:type="dxa"/>
          </w:tcPr>
          <w:p w:rsidR="00C85787" w:rsidRPr="008E26AA" w:rsidRDefault="00C85787" w:rsidP="000800C8">
            <w:pPr>
              <w:spacing w:before="120" w:after="120"/>
              <w:ind w:left="142"/>
              <w:jc w:val="both"/>
              <w:rPr>
                <w:rFonts w:ascii="Cambria" w:hAnsi="Cambria"/>
                <w:sz w:val="24"/>
              </w:rPr>
            </w:pPr>
          </w:p>
        </w:tc>
        <w:tc>
          <w:tcPr>
            <w:tcW w:w="284" w:type="dxa"/>
            <w:tcBorders>
              <w:top w:val="nil"/>
              <w:bottom w:val="nil"/>
            </w:tcBorders>
          </w:tcPr>
          <w:p w:rsidR="00C85787" w:rsidRPr="008E26AA" w:rsidRDefault="00C85787" w:rsidP="000800C8">
            <w:pPr>
              <w:spacing w:before="120" w:after="120"/>
              <w:ind w:left="142"/>
              <w:jc w:val="both"/>
              <w:rPr>
                <w:rFonts w:ascii="Cambria" w:hAnsi="Cambria"/>
                <w:sz w:val="24"/>
              </w:rPr>
            </w:pPr>
          </w:p>
        </w:tc>
        <w:tc>
          <w:tcPr>
            <w:tcW w:w="1673" w:type="dxa"/>
            <w:tcBorders>
              <w:bottom w:val="nil"/>
            </w:tcBorders>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 xml:space="preserve">Épargne </w:t>
            </w:r>
          </w:p>
        </w:tc>
        <w:tc>
          <w:tcPr>
            <w:tcW w:w="1020"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2.000</w:t>
            </w:r>
          </w:p>
        </w:tc>
        <w:tc>
          <w:tcPr>
            <w:tcW w:w="1134" w:type="dxa"/>
          </w:tcPr>
          <w:p w:rsidR="00C85787" w:rsidRPr="008E26AA" w:rsidRDefault="00C85787" w:rsidP="000800C8">
            <w:pPr>
              <w:spacing w:before="120" w:after="120"/>
              <w:ind w:left="142"/>
              <w:jc w:val="both"/>
              <w:rPr>
                <w:rFonts w:ascii="Cambria" w:hAnsi="Cambria"/>
                <w:sz w:val="24"/>
              </w:rPr>
            </w:pPr>
          </w:p>
        </w:tc>
        <w:tc>
          <w:tcPr>
            <w:tcW w:w="992" w:type="dxa"/>
          </w:tcPr>
          <w:p w:rsidR="00C85787" w:rsidRPr="008E26AA" w:rsidRDefault="00C85787" w:rsidP="000800C8">
            <w:pPr>
              <w:spacing w:before="120" w:after="120"/>
              <w:ind w:left="142"/>
              <w:jc w:val="both"/>
              <w:rPr>
                <w:rFonts w:ascii="Cambria" w:hAnsi="Cambria"/>
                <w:sz w:val="24"/>
              </w:rPr>
            </w:pPr>
          </w:p>
        </w:tc>
      </w:tr>
      <w:tr w:rsidR="00C85787" w:rsidRPr="008E26AA" w:rsidTr="000800C8">
        <w:trPr>
          <w:trHeight w:val="576"/>
        </w:trPr>
        <w:tc>
          <w:tcPr>
            <w:tcW w:w="1379"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Solde banque</w:t>
            </w:r>
          </w:p>
        </w:tc>
        <w:tc>
          <w:tcPr>
            <w:tcW w:w="1110"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1.000</w:t>
            </w:r>
          </w:p>
        </w:tc>
        <w:tc>
          <w:tcPr>
            <w:tcW w:w="1475" w:type="dxa"/>
          </w:tcPr>
          <w:p w:rsidR="00C85787" w:rsidRPr="008E26AA" w:rsidRDefault="00C85787" w:rsidP="000800C8">
            <w:pPr>
              <w:spacing w:before="120" w:after="120"/>
              <w:ind w:left="142"/>
              <w:jc w:val="both"/>
              <w:rPr>
                <w:rFonts w:ascii="Cambria" w:hAnsi="Cambria"/>
                <w:sz w:val="24"/>
              </w:rPr>
            </w:pPr>
          </w:p>
        </w:tc>
        <w:tc>
          <w:tcPr>
            <w:tcW w:w="567" w:type="dxa"/>
          </w:tcPr>
          <w:p w:rsidR="00C85787" w:rsidRPr="008E26AA" w:rsidRDefault="00C85787" w:rsidP="000800C8">
            <w:pPr>
              <w:spacing w:before="120" w:after="120"/>
              <w:ind w:left="142"/>
              <w:jc w:val="both"/>
              <w:rPr>
                <w:rFonts w:ascii="Cambria" w:hAnsi="Cambria"/>
                <w:sz w:val="24"/>
              </w:rPr>
            </w:pPr>
          </w:p>
        </w:tc>
        <w:tc>
          <w:tcPr>
            <w:tcW w:w="284" w:type="dxa"/>
            <w:vMerge w:val="restart"/>
            <w:tcBorders>
              <w:top w:val="nil"/>
            </w:tcBorders>
          </w:tcPr>
          <w:p w:rsidR="00C85787" w:rsidRPr="008E26AA" w:rsidRDefault="00C85787" w:rsidP="000800C8">
            <w:pPr>
              <w:spacing w:before="120" w:after="120"/>
              <w:ind w:left="142"/>
              <w:jc w:val="both"/>
              <w:rPr>
                <w:rFonts w:ascii="Cambria" w:hAnsi="Cambria"/>
                <w:sz w:val="24"/>
              </w:rPr>
            </w:pPr>
          </w:p>
        </w:tc>
        <w:tc>
          <w:tcPr>
            <w:tcW w:w="1673"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Solde banque</w:t>
            </w:r>
          </w:p>
        </w:tc>
        <w:tc>
          <w:tcPr>
            <w:tcW w:w="1020"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1.000</w:t>
            </w:r>
          </w:p>
        </w:tc>
        <w:tc>
          <w:tcPr>
            <w:tcW w:w="1134" w:type="dxa"/>
          </w:tcPr>
          <w:p w:rsidR="00C85787" w:rsidRPr="008E26AA" w:rsidRDefault="00C85787" w:rsidP="000800C8">
            <w:pPr>
              <w:spacing w:before="120" w:after="120"/>
              <w:ind w:left="142"/>
              <w:jc w:val="both"/>
              <w:rPr>
                <w:rFonts w:ascii="Cambria" w:hAnsi="Cambria"/>
                <w:sz w:val="24"/>
              </w:rPr>
            </w:pPr>
          </w:p>
        </w:tc>
        <w:tc>
          <w:tcPr>
            <w:tcW w:w="992" w:type="dxa"/>
          </w:tcPr>
          <w:p w:rsidR="00C85787" w:rsidRPr="008E26AA" w:rsidRDefault="00C85787" w:rsidP="000800C8">
            <w:pPr>
              <w:spacing w:before="120" w:after="120"/>
              <w:ind w:left="142"/>
              <w:jc w:val="both"/>
              <w:rPr>
                <w:rFonts w:ascii="Cambria" w:hAnsi="Cambria"/>
                <w:sz w:val="24"/>
              </w:rPr>
            </w:pPr>
          </w:p>
        </w:tc>
      </w:tr>
      <w:tr w:rsidR="00C85787" w:rsidRPr="008E26AA" w:rsidTr="000800C8">
        <w:trPr>
          <w:trHeight w:val="637"/>
        </w:trPr>
        <w:tc>
          <w:tcPr>
            <w:tcW w:w="1379"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Total</w:t>
            </w:r>
          </w:p>
        </w:tc>
        <w:tc>
          <w:tcPr>
            <w:tcW w:w="1110"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20.000</w:t>
            </w:r>
          </w:p>
        </w:tc>
        <w:tc>
          <w:tcPr>
            <w:tcW w:w="1475" w:type="dxa"/>
          </w:tcPr>
          <w:p w:rsidR="00C85787" w:rsidRPr="008E26AA" w:rsidRDefault="00C85787" w:rsidP="000800C8">
            <w:pPr>
              <w:spacing w:before="120" w:after="120"/>
              <w:ind w:left="142"/>
              <w:jc w:val="both"/>
              <w:rPr>
                <w:rFonts w:ascii="Cambria" w:hAnsi="Cambria"/>
                <w:sz w:val="24"/>
              </w:rPr>
            </w:pPr>
          </w:p>
        </w:tc>
        <w:tc>
          <w:tcPr>
            <w:tcW w:w="567" w:type="dxa"/>
          </w:tcPr>
          <w:p w:rsidR="00C85787" w:rsidRPr="008E26AA" w:rsidRDefault="00C85787" w:rsidP="000800C8">
            <w:pPr>
              <w:spacing w:before="120" w:after="120"/>
              <w:ind w:left="142"/>
              <w:jc w:val="both"/>
              <w:rPr>
                <w:rFonts w:ascii="Cambria" w:hAnsi="Cambria"/>
                <w:sz w:val="24"/>
              </w:rPr>
            </w:pPr>
          </w:p>
        </w:tc>
        <w:tc>
          <w:tcPr>
            <w:tcW w:w="284" w:type="dxa"/>
            <w:vMerge/>
            <w:tcBorders>
              <w:bottom w:val="nil"/>
            </w:tcBorders>
          </w:tcPr>
          <w:p w:rsidR="00C85787" w:rsidRPr="008E26AA" w:rsidRDefault="00C85787" w:rsidP="000800C8">
            <w:pPr>
              <w:spacing w:before="120" w:after="120"/>
              <w:ind w:left="142"/>
              <w:jc w:val="both"/>
              <w:rPr>
                <w:rFonts w:ascii="Cambria" w:hAnsi="Cambria"/>
                <w:sz w:val="24"/>
              </w:rPr>
            </w:pPr>
          </w:p>
        </w:tc>
        <w:tc>
          <w:tcPr>
            <w:tcW w:w="1673" w:type="dxa"/>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Total</w:t>
            </w:r>
          </w:p>
        </w:tc>
        <w:tc>
          <w:tcPr>
            <w:tcW w:w="1020" w:type="dxa"/>
          </w:tcPr>
          <w:p w:rsidR="00C85787" w:rsidRPr="008E26AA" w:rsidRDefault="00C85787" w:rsidP="000800C8">
            <w:pPr>
              <w:spacing w:before="120" w:after="120"/>
              <w:jc w:val="both"/>
              <w:rPr>
                <w:rFonts w:ascii="Cambria" w:hAnsi="Cambria"/>
                <w:sz w:val="24"/>
              </w:rPr>
            </w:pPr>
            <w:r w:rsidRPr="008E26AA">
              <w:rPr>
                <w:rFonts w:ascii="Cambria" w:hAnsi="Cambria"/>
                <w:sz w:val="24"/>
              </w:rPr>
              <w:t>25.000</w:t>
            </w:r>
          </w:p>
        </w:tc>
        <w:tc>
          <w:tcPr>
            <w:tcW w:w="1134" w:type="dxa"/>
          </w:tcPr>
          <w:p w:rsidR="00C85787" w:rsidRPr="008E26AA" w:rsidRDefault="00C85787" w:rsidP="000800C8">
            <w:pPr>
              <w:spacing w:before="120" w:after="120"/>
              <w:ind w:left="142"/>
              <w:jc w:val="both"/>
              <w:rPr>
                <w:rFonts w:ascii="Cambria" w:hAnsi="Cambria"/>
                <w:sz w:val="24"/>
              </w:rPr>
            </w:pPr>
          </w:p>
        </w:tc>
        <w:tc>
          <w:tcPr>
            <w:tcW w:w="992" w:type="dxa"/>
          </w:tcPr>
          <w:p w:rsidR="00C85787" w:rsidRPr="008E26AA" w:rsidRDefault="00C85787" w:rsidP="000800C8">
            <w:pPr>
              <w:spacing w:before="120" w:after="120"/>
              <w:ind w:right="93"/>
              <w:jc w:val="both"/>
              <w:rPr>
                <w:rFonts w:ascii="Cambria" w:hAnsi="Cambria"/>
                <w:sz w:val="24"/>
              </w:rPr>
            </w:pPr>
            <w:r w:rsidRPr="008E26AA">
              <w:rPr>
                <w:rFonts w:ascii="Cambria" w:hAnsi="Cambria"/>
                <w:sz w:val="24"/>
              </w:rPr>
              <w:t>5.000</w:t>
            </w:r>
          </w:p>
        </w:tc>
      </w:tr>
      <w:tr w:rsidR="00C85787" w:rsidRPr="008E26AA" w:rsidTr="000800C8">
        <w:tblPrEx>
          <w:tblCellMar>
            <w:left w:w="70" w:type="dxa"/>
            <w:right w:w="70" w:type="dxa"/>
          </w:tblCellMar>
          <w:tblLook w:val="0000" w:firstRow="0" w:lastRow="0" w:firstColumn="0" w:lastColumn="0" w:noHBand="0" w:noVBand="0"/>
        </w:tblPrEx>
        <w:trPr>
          <w:trHeight w:val="591"/>
        </w:trPr>
        <w:tc>
          <w:tcPr>
            <w:tcW w:w="4531" w:type="dxa"/>
            <w:gridSpan w:val="4"/>
            <w:tcBorders>
              <w:top w:val="nil"/>
            </w:tcBorders>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Patrimoine net : 20.000 – 0 = 20.000</w:t>
            </w:r>
          </w:p>
        </w:tc>
        <w:tc>
          <w:tcPr>
            <w:tcW w:w="284" w:type="dxa"/>
            <w:tcBorders>
              <w:top w:val="nil"/>
              <w:bottom w:val="nil"/>
            </w:tcBorders>
          </w:tcPr>
          <w:p w:rsidR="00C85787" w:rsidRPr="008E26AA" w:rsidRDefault="00C85787" w:rsidP="000800C8">
            <w:pPr>
              <w:spacing w:before="120" w:after="120"/>
              <w:ind w:left="142"/>
              <w:jc w:val="both"/>
              <w:rPr>
                <w:rFonts w:ascii="Cambria" w:hAnsi="Cambria"/>
                <w:sz w:val="24"/>
              </w:rPr>
            </w:pPr>
          </w:p>
        </w:tc>
        <w:tc>
          <w:tcPr>
            <w:tcW w:w="4819" w:type="dxa"/>
            <w:gridSpan w:val="4"/>
            <w:tcBorders>
              <w:top w:val="nil"/>
            </w:tcBorders>
          </w:tcPr>
          <w:p w:rsidR="00C85787" w:rsidRPr="008E26AA" w:rsidRDefault="00C85787" w:rsidP="000800C8">
            <w:pPr>
              <w:spacing w:before="120" w:after="120"/>
              <w:ind w:left="142"/>
              <w:jc w:val="both"/>
              <w:rPr>
                <w:rFonts w:ascii="Cambria" w:hAnsi="Cambria"/>
                <w:sz w:val="24"/>
              </w:rPr>
            </w:pPr>
            <w:r w:rsidRPr="008E26AA">
              <w:rPr>
                <w:rFonts w:ascii="Cambria" w:hAnsi="Cambria"/>
                <w:sz w:val="24"/>
              </w:rPr>
              <w:t>Patrimoine net : 25.000 – 5.000 = 20.000</w:t>
            </w:r>
          </w:p>
        </w:tc>
      </w:tr>
    </w:tbl>
    <w:p w:rsidR="00C85787" w:rsidRPr="008E26AA" w:rsidRDefault="00C85787" w:rsidP="00C85787">
      <w:pPr>
        <w:spacing w:before="120" w:after="120" w:line="240" w:lineRule="auto"/>
        <w:ind w:left="567"/>
        <w:jc w:val="both"/>
        <w:rPr>
          <w:rFonts w:ascii="Cambria" w:hAnsi="Cambria"/>
          <w:sz w:val="24"/>
          <w:szCs w:val="24"/>
        </w:rPr>
      </w:pPr>
      <w:r w:rsidRPr="008E26AA">
        <w:rPr>
          <w:rFonts w:ascii="Cambria" w:hAnsi="Cambria"/>
          <w:sz w:val="24"/>
          <w:szCs w:val="24"/>
        </w:rPr>
        <w:t xml:space="preserve">L’actif augmente de 9.000€ dans la rubrique « véhicules » : son montant était de 3.000€ avant l’achat et devient 12.000€ après l’achat. </w:t>
      </w:r>
    </w:p>
    <w:p w:rsidR="00C85787" w:rsidRPr="008E26AA" w:rsidRDefault="00C85787" w:rsidP="00C85787">
      <w:pPr>
        <w:spacing w:before="120" w:after="120" w:line="240" w:lineRule="auto"/>
        <w:ind w:left="567"/>
        <w:jc w:val="both"/>
        <w:rPr>
          <w:rFonts w:ascii="Cambria" w:hAnsi="Cambria"/>
          <w:sz w:val="24"/>
          <w:szCs w:val="24"/>
        </w:rPr>
      </w:pPr>
      <w:r w:rsidRPr="008E26AA">
        <w:rPr>
          <w:rFonts w:ascii="Cambria" w:hAnsi="Cambria"/>
          <w:sz w:val="24"/>
          <w:szCs w:val="24"/>
        </w:rPr>
        <w:t>Pour payer cette acquisition, Sofia a :</w:t>
      </w:r>
    </w:p>
    <w:p w:rsidR="00C85787" w:rsidRPr="008E26AA" w:rsidRDefault="00C85787" w:rsidP="00C85787">
      <w:pPr>
        <w:pStyle w:val="Paragraphedeliste"/>
        <w:numPr>
          <w:ilvl w:val="0"/>
          <w:numId w:val="11"/>
        </w:numPr>
        <w:tabs>
          <w:tab w:val="clear" w:pos="4536"/>
        </w:tabs>
        <w:spacing w:before="120" w:after="120" w:line="240" w:lineRule="auto"/>
        <w:ind w:left="1418"/>
        <w:contextualSpacing w:val="0"/>
        <w:jc w:val="both"/>
        <w:rPr>
          <w:rFonts w:ascii="Cambria" w:hAnsi="Cambria"/>
        </w:rPr>
      </w:pPr>
      <w:r w:rsidRPr="008E26AA">
        <w:rPr>
          <w:rFonts w:ascii="Cambria" w:hAnsi="Cambria"/>
        </w:rPr>
        <w:t xml:space="preserve">Prélevé 4.000€ sur son épargne. Le montant de son épargne diminue donc de 6.000 à 2.000€ ; </w:t>
      </w:r>
    </w:p>
    <w:p w:rsidR="00C85787" w:rsidRPr="008E26AA" w:rsidRDefault="00C85787" w:rsidP="00C85787">
      <w:pPr>
        <w:pStyle w:val="Paragraphedeliste"/>
        <w:numPr>
          <w:ilvl w:val="0"/>
          <w:numId w:val="11"/>
        </w:numPr>
        <w:tabs>
          <w:tab w:val="clear" w:pos="4536"/>
        </w:tabs>
        <w:spacing w:before="120" w:after="120" w:line="240" w:lineRule="auto"/>
        <w:ind w:left="1418"/>
        <w:contextualSpacing w:val="0"/>
        <w:jc w:val="both"/>
        <w:rPr>
          <w:rFonts w:ascii="Cambria" w:hAnsi="Cambria"/>
        </w:rPr>
      </w:pPr>
      <w:r w:rsidRPr="008E26AA">
        <w:rPr>
          <w:rFonts w:ascii="Cambria" w:hAnsi="Cambria"/>
        </w:rPr>
        <w:t xml:space="preserve">Contracté un crédit de 5.000€, qui vient augmenter d’autant le montant de ses dettes, et donc le « Passif » de son patrimoine. </w:t>
      </w:r>
    </w:p>
    <w:p w:rsidR="00C85787" w:rsidRPr="008E26AA" w:rsidRDefault="00C85787" w:rsidP="00C85787">
      <w:pPr>
        <w:spacing w:before="120" w:after="120" w:line="240" w:lineRule="auto"/>
        <w:ind w:left="851"/>
        <w:jc w:val="both"/>
        <w:rPr>
          <w:rFonts w:ascii="Cambria" w:hAnsi="Cambria"/>
          <w:sz w:val="24"/>
          <w:szCs w:val="24"/>
        </w:rPr>
      </w:pPr>
      <w:r w:rsidRPr="008E26AA">
        <w:rPr>
          <w:rFonts w:ascii="Cambria" w:hAnsi="Cambria"/>
          <w:sz w:val="24"/>
          <w:szCs w:val="24"/>
        </w:rPr>
        <w:t xml:space="preserve">L’acquisition du véhicule : </w:t>
      </w:r>
    </w:p>
    <w:p w:rsidR="00C85787" w:rsidRPr="008E26AA" w:rsidRDefault="00C85787" w:rsidP="00C85787">
      <w:pPr>
        <w:pStyle w:val="Paragraphedeliste"/>
        <w:numPr>
          <w:ilvl w:val="0"/>
          <w:numId w:val="12"/>
        </w:numPr>
        <w:tabs>
          <w:tab w:val="clear" w:pos="4536"/>
          <w:tab w:val="left" w:pos="709"/>
        </w:tabs>
        <w:spacing w:before="120" w:after="120" w:line="240" w:lineRule="auto"/>
        <w:ind w:left="1418"/>
        <w:contextualSpacing w:val="0"/>
        <w:jc w:val="both"/>
        <w:rPr>
          <w:rFonts w:ascii="Cambria" w:hAnsi="Cambria"/>
        </w:rPr>
      </w:pPr>
      <w:r w:rsidRPr="008E26AA">
        <w:rPr>
          <w:rFonts w:ascii="Cambria" w:hAnsi="Cambria"/>
        </w:rPr>
        <w:t xml:space="preserve">A </w:t>
      </w:r>
      <w:proofErr w:type="gramStart"/>
      <w:r w:rsidRPr="008E26AA">
        <w:rPr>
          <w:rFonts w:ascii="Cambria" w:hAnsi="Cambria"/>
        </w:rPr>
        <w:t>modifié</w:t>
      </w:r>
      <w:proofErr w:type="gramEnd"/>
      <w:r w:rsidRPr="008E26AA">
        <w:rPr>
          <w:rFonts w:ascii="Cambria" w:hAnsi="Cambria"/>
        </w:rPr>
        <w:t xml:space="preserve"> </w:t>
      </w:r>
      <w:r w:rsidRPr="008E26AA">
        <w:rPr>
          <w:rFonts w:ascii="Cambria" w:hAnsi="Cambria"/>
          <w:i/>
        </w:rPr>
        <w:t>la structure</w:t>
      </w:r>
      <w:r w:rsidRPr="008E26AA">
        <w:rPr>
          <w:rFonts w:ascii="Cambria" w:hAnsi="Cambria"/>
        </w:rPr>
        <w:t xml:space="preserve"> du patrimoine de Sofia </w:t>
      </w:r>
    </w:p>
    <w:p w:rsidR="00C85787" w:rsidRPr="008E26AA" w:rsidRDefault="00C85787" w:rsidP="00C85787">
      <w:pPr>
        <w:pStyle w:val="Paragraphedeliste"/>
        <w:numPr>
          <w:ilvl w:val="0"/>
          <w:numId w:val="12"/>
        </w:numPr>
        <w:tabs>
          <w:tab w:val="clear" w:pos="4536"/>
        </w:tabs>
        <w:spacing w:before="120" w:after="120" w:line="240" w:lineRule="auto"/>
        <w:ind w:left="1418"/>
        <w:contextualSpacing w:val="0"/>
        <w:jc w:val="both"/>
        <w:rPr>
          <w:rFonts w:ascii="Cambria" w:hAnsi="Cambria"/>
        </w:rPr>
      </w:pPr>
      <w:r w:rsidRPr="008E26AA">
        <w:rPr>
          <w:rFonts w:ascii="Cambria" w:hAnsi="Cambria"/>
        </w:rPr>
        <w:t xml:space="preserve">Mais n’a pas modifié </w:t>
      </w:r>
      <w:r w:rsidRPr="008E26AA">
        <w:rPr>
          <w:rFonts w:ascii="Cambria" w:hAnsi="Cambria"/>
          <w:i/>
        </w:rPr>
        <w:t>la valeur nette</w:t>
      </w:r>
      <w:r w:rsidRPr="008E26AA">
        <w:rPr>
          <w:rFonts w:ascii="Cambria" w:hAnsi="Cambria"/>
        </w:rPr>
        <w:t xml:space="preserve"> de ce patrimoine, puisque l’actif est passé de 20.000€ à 25.000€ (+ 5.000€) et le passif est passé de zéro à 5.000€ (+ 5.000€). </w:t>
      </w:r>
    </w:p>
    <w:p w:rsidR="00C85787" w:rsidRPr="008E26AA" w:rsidRDefault="00C85787" w:rsidP="00C85787">
      <w:pPr>
        <w:spacing w:before="120" w:after="120" w:line="240" w:lineRule="auto"/>
        <w:ind w:left="567"/>
        <w:jc w:val="both"/>
        <w:rPr>
          <w:rFonts w:ascii="Cambria" w:hAnsi="Cambria"/>
          <w:sz w:val="24"/>
          <w:szCs w:val="24"/>
        </w:rPr>
      </w:pPr>
      <w:r w:rsidRPr="008E26AA">
        <w:rPr>
          <w:rFonts w:ascii="Cambria" w:hAnsi="Cambria"/>
          <w:sz w:val="24"/>
          <w:szCs w:val="24"/>
        </w:rPr>
        <w:t>Cela est logique puisque lorsqu’on acquiert un bien que l’on conserve, il n’est pas détruit et donc il n’y a pas destruction de la valeur</w:t>
      </w:r>
      <w:r w:rsidRPr="008E26AA">
        <w:rPr>
          <w:rStyle w:val="Appelnotedebasdep"/>
          <w:rFonts w:ascii="Cambria" w:hAnsi="Cambria"/>
          <w:sz w:val="24"/>
          <w:szCs w:val="24"/>
        </w:rPr>
        <w:footnoteReference w:id="1"/>
      </w:r>
      <w:r w:rsidRPr="008E26AA">
        <w:rPr>
          <w:rFonts w:ascii="Cambria" w:hAnsi="Cambria"/>
          <w:sz w:val="24"/>
          <w:szCs w:val="24"/>
        </w:rPr>
        <w:t xml:space="preserve">. </w:t>
      </w:r>
    </w:p>
    <w:p w:rsidR="00C85787" w:rsidRPr="008E26AA" w:rsidRDefault="00C85787" w:rsidP="00C85787">
      <w:pPr>
        <w:spacing w:before="120" w:after="120" w:line="240" w:lineRule="auto"/>
        <w:ind w:left="567"/>
        <w:jc w:val="both"/>
        <w:rPr>
          <w:rFonts w:ascii="Cambria" w:hAnsi="Cambria"/>
          <w:sz w:val="24"/>
          <w:szCs w:val="24"/>
        </w:rPr>
      </w:pPr>
      <w:r w:rsidRPr="008E26AA">
        <w:rPr>
          <w:rFonts w:ascii="Cambria" w:hAnsi="Cambria"/>
          <w:sz w:val="24"/>
          <w:szCs w:val="24"/>
        </w:rPr>
        <w:t xml:space="preserve">Dans le cas de l’acquisition d’un objet d’assez longue durée tel qu’un véhicule automobile ou un matériel électro-ménager, la valeur de revente de cet objet </w:t>
      </w:r>
      <w:r w:rsidRPr="008E26AA">
        <w:rPr>
          <w:rFonts w:ascii="Cambria" w:hAnsi="Cambria"/>
          <w:sz w:val="24"/>
          <w:szCs w:val="24"/>
        </w:rPr>
        <w:lastRenderedPageBreak/>
        <w:t xml:space="preserve">diminue néanmoins chaque année, et il est donc recommandé de constituer dès ce moment-là une épargne d’autofinancement en vue de pouvoir le remplacer lorsque cela deviendra nécessaire. Mais cela est une autre affaire. </w:t>
      </w:r>
    </w:p>
    <w:p w:rsidR="00C85787" w:rsidRPr="008E26AA" w:rsidRDefault="00C85787" w:rsidP="00C85787">
      <w:pPr>
        <w:spacing w:before="120" w:after="120" w:line="240" w:lineRule="auto"/>
        <w:ind w:left="851"/>
        <w:jc w:val="both"/>
        <w:rPr>
          <w:rFonts w:ascii="Cambria" w:hAnsi="Cambria"/>
          <w:sz w:val="24"/>
          <w:szCs w:val="24"/>
        </w:rPr>
      </w:pPr>
    </w:p>
    <w:p w:rsidR="00C85787" w:rsidRPr="00C85787" w:rsidRDefault="00C85787" w:rsidP="00C85787">
      <w:pPr>
        <w:spacing w:before="120" w:after="120" w:line="240" w:lineRule="auto"/>
        <w:ind w:left="567"/>
        <w:jc w:val="both"/>
        <w:rPr>
          <w:rFonts w:ascii="Cambria" w:hAnsi="Cambria"/>
          <w:b/>
          <w:color w:val="C00000"/>
          <w:sz w:val="24"/>
          <w:szCs w:val="24"/>
        </w:rPr>
      </w:pPr>
      <w:r w:rsidRPr="00C85787">
        <w:rPr>
          <w:rFonts w:ascii="Cambria" w:hAnsi="Cambria"/>
          <w:b/>
          <w:color w:val="C00000"/>
          <w:sz w:val="24"/>
          <w:szCs w:val="24"/>
        </w:rPr>
        <w:t>3. Enseignements à tirer de cette approche</w:t>
      </w:r>
    </w:p>
    <w:p w:rsidR="00C85787" w:rsidRPr="008E26AA" w:rsidRDefault="00C85787" w:rsidP="00C85787">
      <w:pPr>
        <w:spacing w:before="120" w:after="120" w:line="240" w:lineRule="auto"/>
        <w:ind w:left="567"/>
        <w:jc w:val="both"/>
        <w:rPr>
          <w:rFonts w:ascii="Cambria" w:hAnsi="Cambria"/>
          <w:sz w:val="24"/>
          <w:szCs w:val="24"/>
        </w:rPr>
      </w:pPr>
      <w:r w:rsidRPr="008E26AA">
        <w:rPr>
          <w:rFonts w:ascii="Cambria" w:hAnsi="Cambria"/>
          <w:sz w:val="24"/>
          <w:szCs w:val="24"/>
        </w:rPr>
        <w:t xml:space="preserve">Le mode opératoire décrit ci-dessus relève du bon sens. Mais, exception faite des acquisitions immobilières, il est assez rarement utilisé : les gestionnaires du budget ont tendance à mélanger joyeusement ce qui relève du budget (ressources et dépenses courantes, qui sont des </w:t>
      </w:r>
      <w:r w:rsidRPr="008E26AA">
        <w:rPr>
          <w:rFonts w:ascii="Cambria" w:hAnsi="Cambria"/>
          <w:i/>
          <w:sz w:val="24"/>
          <w:szCs w:val="24"/>
        </w:rPr>
        <w:t xml:space="preserve">flux </w:t>
      </w:r>
      <w:r w:rsidRPr="008E26AA">
        <w:rPr>
          <w:rFonts w:ascii="Cambria" w:hAnsi="Cambria"/>
          <w:sz w:val="24"/>
          <w:szCs w:val="24"/>
        </w:rPr>
        <w:t xml:space="preserve">d’argent) et ce qui relève du patrimoine (investissements durables, grosses dépenses exceptionnelles, héritages, qui portent sur des </w:t>
      </w:r>
      <w:r w:rsidRPr="008E26AA">
        <w:rPr>
          <w:rFonts w:ascii="Cambria" w:hAnsi="Cambria"/>
          <w:i/>
          <w:sz w:val="24"/>
          <w:szCs w:val="24"/>
        </w:rPr>
        <w:t xml:space="preserve">stocks </w:t>
      </w:r>
      <w:r w:rsidRPr="008E26AA">
        <w:rPr>
          <w:rFonts w:ascii="Cambria" w:hAnsi="Cambria"/>
          <w:sz w:val="24"/>
          <w:szCs w:val="24"/>
        </w:rPr>
        <w:t>d’argent). Le danger qui en résulte le plus souvent consiste à :</w:t>
      </w:r>
    </w:p>
    <w:p w:rsidR="00C85787" w:rsidRPr="008E26AA" w:rsidRDefault="00C85787" w:rsidP="00C85787">
      <w:pPr>
        <w:pStyle w:val="Paragraphedeliste"/>
        <w:numPr>
          <w:ilvl w:val="0"/>
          <w:numId w:val="14"/>
        </w:numPr>
        <w:tabs>
          <w:tab w:val="clear" w:pos="4536"/>
        </w:tabs>
        <w:spacing w:before="120" w:after="120" w:line="240" w:lineRule="auto"/>
        <w:ind w:left="1418"/>
        <w:contextualSpacing w:val="0"/>
        <w:jc w:val="both"/>
        <w:rPr>
          <w:rFonts w:ascii="Cambria" w:hAnsi="Cambria"/>
        </w:rPr>
      </w:pPr>
      <w:r w:rsidRPr="008E26AA">
        <w:rPr>
          <w:rFonts w:ascii="Cambria" w:hAnsi="Cambria"/>
        </w:rPr>
        <w:t xml:space="preserve">Financer de grosses dépenses par de mauvais crédits à la consommation (et notamment du crédit renouvelable ou du dépassement de découvert autorisé) </w:t>
      </w:r>
    </w:p>
    <w:p w:rsidR="00C85787" w:rsidRPr="008E26AA" w:rsidRDefault="00C85787" w:rsidP="00C85787">
      <w:pPr>
        <w:pStyle w:val="Paragraphedeliste"/>
        <w:numPr>
          <w:ilvl w:val="0"/>
          <w:numId w:val="14"/>
        </w:numPr>
        <w:tabs>
          <w:tab w:val="clear" w:pos="4536"/>
        </w:tabs>
        <w:spacing w:before="120" w:after="120" w:line="240" w:lineRule="auto"/>
        <w:ind w:left="1418"/>
        <w:contextualSpacing w:val="0"/>
        <w:jc w:val="both"/>
        <w:rPr>
          <w:rFonts w:ascii="Cambria" w:hAnsi="Cambria"/>
        </w:rPr>
      </w:pPr>
      <w:r w:rsidRPr="008E26AA">
        <w:rPr>
          <w:rFonts w:ascii="Cambria" w:hAnsi="Cambria"/>
        </w:rPr>
        <w:t>Déséquilibrer le budget courant en le surchargeant de remboursements excessifs, au risque de faire basculer la personne dans le surendettement ;</w:t>
      </w:r>
    </w:p>
    <w:p w:rsidR="00C85787" w:rsidRPr="008E26AA" w:rsidRDefault="00C85787" w:rsidP="00C85787">
      <w:pPr>
        <w:pStyle w:val="Paragraphedeliste"/>
        <w:numPr>
          <w:ilvl w:val="0"/>
          <w:numId w:val="14"/>
        </w:numPr>
        <w:tabs>
          <w:tab w:val="clear" w:pos="4536"/>
        </w:tabs>
        <w:spacing w:before="120" w:after="120" w:line="240" w:lineRule="auto"/>
        <w:ind w:left="1418"/>
        <w:contextualSpacing w:val="0"/>
        <w:jc w:val="both"/>
        <w:rPr>
          <w:rFonts w:ascii="Cambria" w:hAnsi="Cambria"/>
        </w:rPr>
      </w:pPr>
      <w:r w:rsidRPr="008E26AA">
        <w:rPr>
          <w:rFonts w:ascii="Cambria" w:hAnsi="Cambria"/>
        </w:rPr>
        <w:t>Traiter les ressources importantes exceptionnelles comme si elles avaient vocation à être dépensées à la petite semaine, de façon plus ou moins futile, et donc les gaspiller, dans une forme de dépense sans conscience, là où on devrait au contraire appliquer le précepte : « Penser avant de dépenser » !</w:t>
      </w:r>
    </w:p>
    <w:p w:rsidR="00C85787" w:rsidRPr="008E26AA" w:rsidRDefault="00C85787" w:rsidP="00C85787">
      <w:pPr>
        <w:spacing w:before="120" w:after="120" w:line="240" w:lineRule="auto"/>
        <w:ind w:left="567"/>
        <w:jc w:val="both"/>
        <w:rPr>
          <w:rFonts w:ascii="Cambria" w:hAnsi="Cambria"/>
          <w:sz w:val="24"/>
          <w:szCs w:val="24"/>
        </w:rPr>
      </w:pPr>
      <w:r w:rsidRPr="008E26AA">
        <w:rPr>
          <w:rFonts w:ascii="Cambria" w:hAnsi="Cambria"/>
          <w:sz w:val="24"/>
          <w:szCs w:val="24"/>
        </w:rPr>
        <w:t xml:space="preserve">Bien différencier les opérations relevant du budget de celles relevant du patrimoine peut donc avoir des effets puissants : </w:t>
      </w:r>
    </w:p>
    <w:p w:rsidR="00C85787" w:rsidRPr="008E26AA" w:rsidRDefault="00C85787" w:rsidP="00C85787">
      <w:pPr>
        <w:pStyle w:val="Paragraphedeliste"/>
        <w:numPr>
          <w:ilvl w:val="0"/>
          <w:numId w:val="15"/>
        </w:numPr>
        <w:tabs>
          <w:tab w:val="clear" w:pos="4536"/>
        </w:tabs>
        <w:spacing w:before="120" w:after="120" w:line="240" w:lineRule="auto"/>
        <w:ind w:left="1418"/>
        <w:contextualSpacing w:val="0"/>
        <w:jc w:val="both"/>
        <w:rPr>
          <w:rFonts w:ascii="Cambria" w:hAnsi="Cambria"/>
        </w:rPr>
      </w:pPr>
      <w:r w:rsidRPr="008E26AA">
        <w:rPr>
          <w:rFonts w:ascii="Cambria" w:hAnsi="Cambria"/>
        </w:rPr>
        <w:t>De clarification financière ;</w:t>
      </w:r>
    </w:p>
    <w:p w:rsidR="00C85787" w:rsidRPr="008E26AA" w:rsidRDefault="00C85787" w:rsidP="00C85787">
      <w:pPr>
        <w:pStyle w:val="Paragraphedeliste"/>
        <w:numPr>
          <w:ilvl w:val="0"/>
          <w:numId w:val="15"/>
        </w:numPr>
        <w:tabs>
          <w:tab w:val="clear" w:pos="4536"/>
        </w:tabs>
        <w:spacing w:before="120" w:after="120" w:line="240" w:lineRule="auto"/>
        <w:ind w:left="1418"/>
        <w:contextualSpacing w:val="0"/>
        <w:jc w:val="both"/>
        <w:rPr>
          <w:rFonts w:ascii="Cambria" w:hAnsi="Cambria"/>
        </w:rPr>
      </w:pPr>
      <w:r w:rsidRPr="008E26AA">
        <w:rPr>
          <w:rFonts w:ascii="Cambria" w:hAnsi="Cambria"/>
        </w:rPr>
        <w:t>De sécurité face aux dangers liés au recours à des crédits inadaptés qu’on traine ensuite comme des boulets.</w:t>
      </w:r>
    </w:p>
    <w:p w:rsidR="00C85787" w:rsidRPr="008E26AA" w:rsidRDefault="00C85787" w:rsidP="00C85787">
      <w:pPr>
        <w:spacing w:before="120" w:after="120" w:line="240" w:lineRule="auto"/>
        <w:jc w:val="both"/>
        <w:rPr>
          <w:rFonts w:ascii="Cambria" w:hAnsi="Cambria"/>
          <w:sz w:val="24"/>
          <w:szCs w:val="24"/>
        </w:rPr>
      </w:pPr>
    </w:p>
    <w:p w:rsidR="00AB0691" w:rsidRDefault="00AB0691" w:rsidP="000634A0">
      <w:pPr>
        <w:ind w:left="567"/>
        <w:jc w:val="both"/>
        <w:rPr>
          <w:rFonts w:ascii="Cambria" w:hAnsi="Cambria"/>
          <w:b/>
          <w:color w:val="C00000"/>
          <w:sz w:val="24"/>
          <w:szCs w:val="24"/>
        </w:rPr>
      </w:pPr>
    </w:p>
    <w:p w:rsidR="00C85787" w:rsidRPr="007D44E5" w:rsidRDefault="00C85787" w:rsidP="000634A0">
      <w:pPr>
        <w:ind w:left="567"/>
        <w:jc w:val="both"/>
        <w:rPr>
          <w:rFonts w:ascii="Cambria" w:hAnsi="Cambria"/>
          <w:b/>
          <w:sz w:val="24"/>
          <w:szCs w:val="24"/>
        </w:rPr>
      </w:pPr>
    </w:p>
    <w:sectPr w:rsidR="00C85787" w:rsidRPr="007D44E5" w:rsidSect="001A156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454" w:rsidRDefault="00D73454" w:rsidP="00F92CAB">
      <w:pPr>
        <w:spacing w:after="0"/>
      </w:pPr>
      <w:r>
        <w:separator/>
      </w:r>
    </w:p>
  </w:endnote>
  <w:endnote w:type="continuationSeparator" w:id="0">
    <w:p w:rsidR="00D73454" w:rsidRDefault="00D73454" w:rsidP="00F92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31708659"/>
      <w:docPartObj>
        <w:docPartGallery w:val="Page Numbers (Bottom of Page)"/>
        <w:docPartUnique/>
      </w:docPartObj>
    </w:sdtPr>
    <w:sdtContent>
      <w:p w:rsidR="00E925A6" w:rsidRDefault="00E925A6" w:rsidP="002A42C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925A6" w:rsidRDefault="00E925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43927632"/>
      <w:docPartObj>
        <w:docPartGallery w:val="Page Numbers (Bottom of Page)"/>
        <w:docPartUnique/>
      </w:docPartObj>
    </w:sdtPr>
    <w:sdtContent>
      <w:p w:rsidR="00E925A6" w:rsidRDefault="00E925A6" w:rsidP="002A42C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925A6" w:rsidRDefault="00E92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454" w:rsidRDefault="00D73454" w:rsidP="00F92CAB">
      <w:pPr>
        <w:spacing w:after="0"/>
      </w:pPr>
      <w:r>
        <w:separator/>
      </w:r>
    </w:p>
  </w:footnote>
  <w:footnote w:type="continuationSeparator" w:id="0">
    <w:p w:rsidR="00D73454" w:rsidRDefault="00D73454" w:rsidP="00F92CAB">
      <w:pPr>
        <w:spacing w:after="0"/>
      </w:pPr>
      <w:r>
        <w:continuationSeparator/>
      </w:r>
    </w:p>
  </w:footnote>
  <w:footnote w:id="1">
    <w:p w:rsidR="00C85787" w:rsidRPr="00C85787" w:rsidRDefault="00C85787" w:rsidP="00C85787">
      <w:pPr>
        <w:pStyle w:val="Notedebasdepage"/>
        <w:spacing w:after="0" w:line="240" w:lineRule="auto"/>
        <w:jc w:val="both"/>
        <w:rPr>
          <w:rFonts w:ascii="Cambria" w:hAnsi="Cambria"/>
          <w:sz w:val="20"/>
          <w:szCs w:val="20"/>
        </w:rPr>
      </w:pPr>
      <w:r w:rsidRPr="0062052A">
        <w:rPr>
          <w:rStyle w:val="Appelnotedebasdep"/>
          <w:rFonts w:ascii="Cambria" w:hAnsi="Cambria"/>
        </w:rPr>
        <w:footnoteRef/>
      </w:r>
      <w:r w:rsidRPr="0062052A">
        <w:rPr>
          <w:rFonts w:ascii="Cambria" w:hAnsi="Cambria"/>
        </w:rPr>
        <w:t xml:space="preserve"> </w:t>
      </w:r>
      <w:r w:rsidRPr="00C85787">
        <w:rPr>
          <w:rFonts w:ascii="Cambria" w:hAnsi="Cambria"/>
          <w:sz w:val="20"/>
          <w:szCs w:val="20"/>
        </w:rPr>
        <w:t xml:space="preserve">La réalité est un peu plus nuancée si l’on considère qu’une voiture neuve perd une partie de sa valeur vénale dès le moment où elle a parcouru quelques kilomètres dans les mains de son propriétaire.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6ED"/>
    <w:multiLevelType w:val="hybridMultilevel"/>
    <w:tmpl w:val="FF480CB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C35372"/>
    <w:multiLevelType w:val="hybridMultilevel"/>
    <w:tmpl w:val="C8424210"/>
    <w:lvl w:ilvl="0" w:tplc="040C0001">
      <w:start w:val="1"/>
      <w:numFmt w:val="bullet"/>
      <w:lvlText w:val=""/>
      <w:lvlJc w:val="left"/>
      <w:pPr>
        <w:ind w:left="1739" w:hanging="360"/>
      </w:pPr>
      <w:rPr>
        <w:rFonts w:ascii="Symbol" w:hAnsi="Symbol" w:hint="default"/>
      </w:rPr>
    </w:lvl>
    <w:lvl w:ilvl="1" w:tplc="040C0003">
      <w:start w:val="1"/>
      <w:numFmt w:val="bullet"/>
      <w:lvlText w:val="o"/>
      <w:lvlJc w:val="left"/>
      <w:pPr>
        <w:ind w:left="2459" w:hanging="360"/>
      </w:pPr>
      <w:rPr>
        <w:rFonts w:ascii="Courier New" w:hAnsi="Courier New" w:hint="default"/>
      </w:rPr>
    </w:lvl>
    <w:lvl w:ilvl="2" w:tplc="040C0005" w:tentative="1">
      <w:start w:val="1"/>
      <w:numFmt w:val="bullet"/>
      <w:lvlText w:val=""/>
      <w:lvlJc w:val="left"/>
      <w:pPr>
        <w:ind w:left="3179" w:hanging="360"/>
      </w:pPr>
      <w:rPr>
        <w:rFonts w:ascii="Wingdings" w:hAnsi="Wingdings" w:hint="default"/>
      </w:rPr>
    </w:lvl>
    <w:lvl w:ilvl="3" w:tplc="040C0001" w:tentative="1">
      <w:start w:val="1"/>
      <w:numFmt w:val="bullet"/>
      <w:lvlText w:val=""/>
      <w:lvlJc w:val="left"/>
      <w:pPr>
        <w:ind w:left="3899" w:hanging="360"/>
      </w:pPr>
      <w:rPr>
        <w:rFonts w:ascii="Symbol" w:hAnsi="Symbol" w:hint="default"/>
      </w:rPr>
    </w:lvl>
    <w:lvl w:ilvl="4" w:tplc="040C0003" w:tentative="1">
      <w:start w:val="1"/>
      <w:numFmt w:val="bullet"/>
      <w:lvlText w:val="o"/>
      <w:lvlJc w:val="left"/>
      <w:pPr>
        <w:ind w:left="4619" w:hanging="360"/>
      </w:pPr>
      <w:rPr>
        <w:rFonts w:ascii="Courier New" w:hAnsi="Courier New" w:hint="default"/>
      </w:rPr>
    </w:lvl>
    <w:lvl w:ilvl="5" w:tplc="040C0005" w:tentative="1">
      <w:start w:val="1"/>
      <w:numFmt w:val="bullet"/>
      <w:lvlText w:val=""/>
      <w:lvlJc w:val="left"/>
      <w:pPr>
        <w:ind w:left="5339" w:hanging="360"/>
      </w:pPr>
      <w:rPr>
        <w:rFonts w:ascii="Wingdings" w:hAnsi="Wingdings" w:hint="default"/>
      </w:rPr>
    </w:lvl>
    <w:lvl w:ilvl="6" w:tplc="040C0001" w:tentative="1">
      <w:start w:val="1"/>
      <w:numFmt w:val="bullet"/>
      <w:lvlText w:val=""/>
      <w:lvlJc w:val="left"/>
      <w:pPr>
        <w:ind w:left="6059" w:hanging="360"/>
      </w:pPr>
      <w:rPr>
        <w:rFonts w:ascii="Symbol" w:hAnsi="Symbol" w:hint="default"/>
      </w:rPr>
    </w:lvl>
    <w:lvl w:ilvl="7" w:tplc="040C0003" w:tentative="1">
      <w:start w:val="1"/>
      <w:numFmt w:val="bullet"/>
      <w:lvlText w:val="o"/>
      <w:lvlJc w:val="left"/>
      <w:pPr>
        <w:ind w:left="6779" w:hanging="360"/>
      </w:pPr>
      <w:rPr>
        <w:rFonts w:ascii="Courier New" w:hAnsi="Courier New" w:hint="default"/>
      </w:rPr>
    </w:lvl>
    <w:lvl w:ilvl="8" w:tplc="040C0005" w:tentative="1">
      <w:start w:val="1"/>
      <w:numFmt w:val="bullet"/>
      <w:lvlText w:val=""/>
      <w:lvlJc w:val="left"/>
      <w:pPr>
        <w:ind w:left="7499" w:hanging="360"/>
      </w:pPr>
      <w:rPr>
        <w:rFonts w:ascii="Wingdings" w:hAnsi="Wingdings" w:hint="default"/>
      </w:rPr>
    </w:lvl>
  </w:abstractNum>
  <w:abstractNum w:abstractNumId="2" w15:restartNumberingAfterBreak="0">
    <w:nsid w:val="0923228C"/>
    <w:multiLevelType w:val="hybridMultilevel"/>
    <w:tmpl w:val="23221F2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BAC036A"/>
    <w:multiLevelType w:val="hybridMultilevel"/>
    <w:tmpl w:val="2D626D16"/>
    <w:lvl w:ilvl="0" w:tplc="040C0001">
      <w:start w:val="1"/>
      <w:numFmt w:val="bullet"/>
      <w:lvlText w:val=""/>
      <w:lvlJc w:val="left"/>
      <w:pPr>
        <w:ind w:left="1346" w:hanging="360"/>
      </w:pPr>
      <w:rPr>
        <w:rFonts w:ascii="Symbol" w:hAnsi="Symbol" w:hint="default"/>
      </w:rPr>
    </w:lvl>
    <w:lvl w:ilvl="1" w:tplc="040C0003" w:tentative="1">
      <w:start w:val="1"/>
      <w:numFmt w:val="bullet"/>
      <w:lvlText w:val="o"/>
      <w:lvlJc w:val="left"/>
      <w:pPr>
        <w:ind w:left="2066" w:hanging="360"/>
      </w:pPr>
      <w:rPr>
        <w:rFonts w:ascii="Courier New" w:hAnsi="Courier New" w:cs="Courier New" w:hint="default"/>
      </w:rPr>
    </w:lvl>
    <w:lvl w:ilvl="2" w:tplc="040C0005" w:tentative="1">
      <w:start w:val="1"/>
      <w:numFmt w:val="bullet"/>
      <w:lvlText w:val=""/>
      <w:lvlJc w:val="left"/>
      <w:pPr>
        <w:ind w:left="2786" w:hanging="360"/>
      </w:pPr>
      <w:rPr>
        <w:rFonts w:ascii="Wingdings" w:hAnsi="Wingdings" w:hint="default"/>
      </w:rPr>
    </w:lvl>
    <w:lvl w:ilvl="3" w:tplc="040C0001" w:tentative="1">
      <w:start w:val="1"/>
      <w:numFmt w:val="bullet"/>
      <w:lvlText w:val=""/>
      <w:lvlJc w:val="left"/>
      <w:pPr>
        <w:ind w:left="3506" w:hanging="360"/>
      </w:pPr>
      <w:rPr>
        <w:rFonts w:ascii="Symbol" w:hAnsi="Symbol" w:hint="default"/>
      </w:rPr>
    </w:lvl>
    <w:lvl w:ilvl="4" w:tplc="040C0003" w:tentative="1">
      <w:start w:val="1"/>
      <w:numFmt w:val="bullet"/>
      <w:lvlText w:val="o"/>
      <w:lvlJc w:val="left"/>
      <w:pPr>
        <w:ind w:left="4226" w:hanging="360"/>
      </w:pPr>
      <w:rPr>
        <w:rFonts w:ascii="Courier New" w:hAnsi="Courier New" w:cs="Courier New" w:hint="default"/>
      </w:rPr>
    </w:lvl>
    <w:lvl w:ilvl="5" w:tplc="040C0005" w:tentative="1">
      <w:start w:val="1"/>
      <w:numFmt w:val="bullet"/>
      <w:lvlText w:val=""/>
      <w:lvlJc w:val="left"/>
      <w:pPr>
        <w:ind w:left="4946" w:hanging="360"/>
      </w:pPr>
      <w:rPr>
        <w:rFonts w:ascii="Wingdings" w:hAnsi="Wingdings" w:hint="default"/>
      </w:rPr>
    </w:lvl>
    <w:lvl w:ilvl="6" w:tplc="040C0001" w:tentative="1">
      <w:start w:val="1"/>
      <w:numFmt w:val="bullet"/>
      <w:lvlText w:val=""/>
      <w:lvlJc w:val="left"/>
      <w:pPr>
        <w:ind w:left="5666" w:hanging="360"/>
      </w:pPr>
      <w:rPr>
        <w:rFonts w:ascii="Symbol" w:hAnsi="Symbol" w:hint="default"/>
      </w:rPr>
    </w:lvl>
    <w:lvl w:ilvl="7" w:tplc="040C0003" w:tentative="1">
      <w:start w:val="1"/>
      <w:numFmt w:val="bullet"/>
      <w:lvlText w:val="o"/>
      <w:lvlJc w:val="left"/>
      <w:pPr>
        <w:ind w:left="6386" w:hanging="360"/>
      </w:pPr>
      <w:rPr>
        <w:rFonts w:ascii="Courier New" w:hAnsi="Courier New" w:cs="Courier New" w:hint="default"/>
      </w:rPr>
    </w:lvl>
    <w:lvl w:ilvl="8" w:tplc="040C0005" w:tentative="1">
      <w:start w:val="1"/>
      <w:numFmt w:val="bullet"/>
      <w:lvlText w:val=""/>
      <w:lvlJc w:val="left"/>
      <w:pPr>
        <w:ind w:left="7106" w:hanging="360"/>
      </w:pPr>
      <w:rPr>
        <w:rFonts w:ascii="Wingdings" w:hAnsi="Wingdings" w:hint="default"/>
      </w:rPr>
    </w:lvl>
  </w:abstractNum>
  <w:abstractNum w:abstractNumId="4" w15:restartNumberingAfterBreak="0">
    <w:nsid w:val="0BB54EE9"/>
    <w:multiLevelType w:val="hybridMultilevel"/>
    <w:tmpl w:val="F906F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61C08980">
      <w:start w:val="1"/>
      <w:numFmt w:val="bullet"/>
      <w:pStyle w:val="Paragraphedeliste"/>
      <w:lvlText w:val="o"/>
      <w:lvlJc w:val="left"/>
      <w:pPr>
        <w:ind w:left="3600" w:hanging="360"/>
      </w:pPr>
      <w:rPr>
        <w:rFonts w:ascii="Courier New" w:hAnsi="Courier New" w:cs="Courier New"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A455EA"/>
    <w:multiLevelType w:val="hybridMultilevel"/>
    <w:tmpl w:val="6A9417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82A2C52"/>
    <w:multiLevelType w:val="hybridMultilevel"/>
    <w:tmpl w:val="0FC4187E"/>
    <w:lvl w:ilvl="0" w:tplc="040C0001">
      <w:start w:val="1"/>
      <w:numFmt w:val="bullet"/>
      <w:lvlText w:val=""/>
      <w:lvlJc w:val="left"/>
      <w:pPr>
        <w:ind w:left="1760" w:hanging="360"/>
      </w:pPr>
      <w:rPr>
        <w:rFonts w:ascii="Symbol" w:hAnsi="Symbol" w:hint="default"/>
      </w:rPr>
    </w:lvl>
    <w:lvl w:ilvl="1" w:tplc="040C0003">
      <w:start w:val="1"/>
      <w:numFmt w:val="bullet"/>
      <w:lvlText w:val="o"/>
      <w:lvlJc w:val="left"/>
      <w:pPr>
        <w:ind w:left="2480" w:hanging="360"/>
      </w:pPr>
      <w:rPr>
        <w:rFonts w:ascii="Courier New" w:hAnsi="Courier New" w:hint="default"/>
      </w:rPr>
    </w:lvl>
    <w:lvl w:ilvl="2" w:tplc="040C0005">
      <w:start w:val="1"/>
      <w:numFmt w:val="bullet"/>
      <w:lvlText w:val=""/>
      <w:lvlJc w:val="left"/>
      <w:pPr>
        <w:ind w:left="3200" w:hanging="360"/>
      </w:pPr>
      <w:rPr>
        <w:rFonts w:ascii="Wingdings" w:hAnsi="Wingdings" w:hint="default"/>
      </w:rPr>
    </w:lvl>
    <w:lvl w:ilvl="3" w:tplc="040C0001">
      <w:start w:val="1"/>
      <w:numFmt w:val="bullet"/>
      <w:lvlText w:val=""/>
      <w:lvlJc w:val="left"/>
      <w:pPr>
        <w:ind w:left="3920" w:hanging="360"/>
      </w:pPr>
      <w:rPr>
        <w:rFonts w:ascii="Symbol" w:hAnsi="Symbol" w:hint="default"/>
      </w:rPr>
    </w:lvl>
    <w:lvl w:ilvl="4" w:tplc="040C0003">
      <w:start w:val="1"/>
      <w:numFmt w:val="bullet"/>
      <w:lvlText w:val="o"/>
      <w:lvlJc w:val="left"/>
      <w:pPr>
        <w:ind w:left="4640" w:hanging="360"/>
      </w:pPr>
      <w:rPr>
        <w:rFonts w:ascii="Courier New" w:hAnsi="Courier New" w:hint="default"/>
      </w:rPr>
    </w:lvl>
    <w:lvl w:ilvl="5" w:tplc="040C0005" w:tentative="1">
      <w:start w:val="1"/>
      <w:numFmt w:val="bullet"/>
      <w:lvlText w:val=""/>
      <w:lvlJc w:val="left"/>
      <w:pPr>
        <w:ind w:left="5360" w:hanging="360"/>
      </w:pPr>
      <w:rPr>
        <w:rFonts w:ascii="Wingdings" w:hAnsi="Wingdings" w:hint="default"/>
      </w:rPr>
    </w:lvl>
    <w:lvl w:ilvl="6" w:tplc="040C0001" w:tentative="1">
      <w:start w:val="1"/>
      <w:numFmt w:val="bullet"/>
      <w:lvlText w:val=""/>
      <w:lvlJc w:val="left"/>
      <w:pPr>
        <w:ind w:left="6080" w:hanging="360"/>
      </w:pPr>
      <w:rPr>
        <w:rFonts w:ascii="Symbol" w:hAnsi="Symbol" w:hint="default"/>
      </w:rPr>
    </w:lvl>
    <w:lvl w:ilvl="7" w:tplc="040C0003" w:tentative="1">
      <w:start w:val="1"/>
      <w:numFmt w:val="bullet"/>
      <w:lvlText w:val="o"/>
      <w:lvlJc w:val="left"/>
      <w:pPr>
        <w:ind w:left="6800" w:hanging="360"/>
      </w:pPr>
      <w:rPr>
        <w:rFonts w:ascii="Courier New" w:hAnsi="Courier New" w:hint="default"/>
      </w:rPr>
    </w:lvl>
    <w:lvl w:ilvl="8" w:tplc="040C0005" w:tentative="1">
      <w:start w:val="1"/>
      <w:numFmt w:val="bullet"/>
      <w:lvlText w:val=""/>
      <w:lvlJc w:val="left"/>
      <w:pPr>
        <w:ind w:left="7520" w:hanging="360"/>
      </w:pPr>
      <w:rPr>
        <w:rFonts w:ascii="Wingdings" w:hAnsi="Wingdings" w:hint="default"/>
      </w:rPr>
    </w:lvl>
  </w:abstractNum>
  <w:abstractNum w:abstractNumId="7" w15:restartNumberingAfterBreak="0">
    <w:nsid w:val="185A6AE5"/>
    <w:multiLevelType w:val="hybridMultilevel"/>
    <w:tmpl w:val="6134879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21AE374A"/>
    <w:multiLevelType w:val="hybridMultilevel"/>
    <w:tmpl w:val="A980123C"/>
    <w:lvl w:ilvl="0" w:tplc="040C0001">
      <w:start w:val="1"/>
      <w:numFmt w:val="bullet"/>
      <w:lvlText w:val=""/>
      <w:lvlJc w:val="left"/>
      <w:pPr>
        <w:ind w:left="1713" w:hanging="360"/>
      </w:pPr>
      <w:rPr>
        <w:rFonts w:ascii="Symbol" w:hAnsi="Symbol" w:hint="default"/>
      </w:rPr>
    </w:lvl>
    <w:lvl w:ilvl="1" w:tplc="040C0003">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266C246C"/>
    <w:multiLevelType w:val="hybridMultilevel"/>
    <w:tmpl w:val="EA06721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28FF7681"/>
    <w:multiLevelType w:val="hybridMultilevel"/>
    <w:tmpl w:val="2CA04D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3B5908ED"/>
    <w:multiLevelType w:val="hybridMultilevel"/>
    <w:tmpl w:val="2E9A1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2E5E58"/>
    <w:multiLevelType w:val="hybridMultilevel"/>
    <w:tmpl w:val="69CE7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B7500A"/>
    <w:multiLevelType w:val="hybridMultilevel"/>
    <w:tmpl w:val="B770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7C49C0"/>
    <w:multiLevelType w:val="hybridMultilevel"/>
    <w:tmpl w:val="0BAC361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75AA5180"/>
    <w:multiLevelType w:val="hybridMultilevel"/>
    <w:tmpl w:val="C64A782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7A1B2899"/>
    <w:multiLevelType w:val="hybridMultilevel"/>
    <w:tmpl w:val="7E748E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7A8E63FC"/>
    <w:multiLevelType w:val="hybridMultilevel"/>
    <w:tmpl w:val="2B1AEFF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4"/>
  </w:num>
  <w:num w:numId="2">
    <w:abstractNumId w:val="11"/>
  </w:num>
  <w:num w:numId="3">
    <w:abstractNumId w:val="1"/>
  </w:num>
  <w:num w:numId="4">
    <w:abstractNumId w:val="15"/>
  </w:num>
  <w:num w:numId="5">
    <w:abstractNumId w:val="6"/>
  </w:num>
  <w:num w:numId="6">
    <w:abstractNumId w:val="12"/>
  </w:num>
  <w:num w:numId="7">
    <w:abstractNumId w:val="13"/>
  </w:num>
  <w:num w:numId="8">
    <w:abstractNumId w:val="8"/>
  </w:num>
  <w:num w:numId="9">
    <w:abstractNumId w:val="5"/>
  </w:num>
  <w:num w:numId="10">
    <w:abstractNumId w:val="0"/>
  </w:num>
  <w:num w:numId="11">
    <w:abstractNumId w:val="17"/>
  </w:num>
  <w:num w:numId="12">
    <w:abstractNumId w:val="10"/>
  </w:num>
  <w:num w:numId="13">
    <w:abstractNumId w:val="14"/>
  </w:num>
  <w:num w:numId="14">
    <w:abstractNumId w:val="9"/>
  </w:num>
  <w:num w:numId="15">
    <w:abstractNumId w:val="7"/>
  </w:num>
  <w:num w:numId="16">
    <w:abstractNumId w:val="2"/>
  </w:num>
  <w:num w:numId="17">
    <w:abstractNumId w:val="16"/>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AB"/>
    <w:rsid w:val="000634A0"/>
    <w:rsid w:val="000C1822"/>
    <w:rsid w:val="000E2CAB"/>
    <w:rsid w:val="00132FD5"/>
    <w:rsid w:val="00147A35"/>
    <w:rsid w:val="00171113"/>
    <w:rsid w:val="001A1566"/>
    <w:rsid w:val="001C0618"/>
    <w:rsid w:val="002F6561"/>
    <w:rsid w:val="00312067"/>
    <w:rsid w:val="0031624B"/>
    <w:rsid w:val="003431F3"/>
    <w:rsid w:val="003734E5"/>
    <w:rsid w:val="003945AE"/>
    <w:rsid w:val="003D611B"/>
    <w:rsid w:val="003E5439"/>
    <w:rsid w:val="0044312C"/>
    <w:rsid w:val="00445436"/>
    <w:rsid w:val="004759EF"/>
    <w:rsid w:val="004C5A1E"/>
    <w:rsid w:val="00522216"/>
    <w:rsid w:val="00540FA4"/>
    <w:rsid w:val="00546985"/>
    <w:rsid w:val="005B0935"/>
    <w:rsid w:val="00600CE5"/>
    <w:rsid w:val="006E16F5"/>
    <w:rsid w:val="00732853"/>
    <w:rsid w:val="00783B30"/>
    <w:rsid w:val="00791E66"/>
    <w:rsid w:val="007D44E5"/>
    <w:rsid w:val="007E3EBF"/>
    <w:rsid w:val="0087717C"/>
    <w:rsid w:val="008B3633"/>
    <w:rsid w:val="00933AFA"/>
    <w:rsid w:val="00987E2B"/>
    <w:rsid w:val="009A0A6B"/>
    <w:rsid w:val="009A55E7"/>
    <w:rsid w:val="009F4699"/>
    <w:rsid w:val="00A156E6"/>
    <w:rsid w:val="00A24C75"/>
    <w:rsid w:val="00A432DD"/>
    <w:rsid w:val="00A52A0F"/>
    <w:rsid w:val="00AB0691"/>
    <w:rsid w:val="00B34F4D"/>
    <w:rsid w:val="00B52499"/>
    <w:rsid w:val="00B8773E"/>
    <w:rsid w:val="00BC4CD5"/>
    <w:rsid w:val="00C85787"/>
    <w:rsid w:val="00C973E4"/>
    <w:rsid w:val="00D358FD"/>
    <w:rsid w:val="00D40975"/>
    <w:rsid w:val="00D54FF8"/>
    <w:rsid w:val="00D73454"/>
    <w:rsid w:val="00DF5466"/>
    <w:rsid w:val="00E17EA8"/>
    <w:rsid w:val="00E4085C"/>
    <w:rsid w:val="00E925A6"/>
    <w:rsid w:val="00F05B4C"/>
    <w:rsid w:val="00F17E7E"/>
    <w:rsid w:val="00F7188C"/>
    <w:rsid w:val="00F83EBD"/>
    <w:rsid w:val="00F92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83B77-8DFF-D04E-B0D8-EA56793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fr-FR" w:eastAsia="en-US" w:bidi="ar-SA"/>
      </w:rPr>
    </w:rPrDefault>
    <w:pPrDefault>
      <w:pPr>
        <w:spacing w:before="120" w:after="120"/>
        <w:ind w:left="198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18"/>
    <w:pPr>
      <w:spacing w:before="0" w:after="200" w:line="276" w:lineRule="auto"/>
      <w:ind w:left="0" w:firstLine="0"/>
      <w:jc w:val="left"/>
    </w:pPr>
    <w:rPr>
      <w:rFonts w:ascii="Calibri" w:eastAsia="Times New Roman" w:hAnsi="Calibr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2CAB"/>
  </w:style>
  <w:style w:type="character" w:customStyle="1" w:styleId="NotedebasdepageCar">
    <w:name w:val="Note de bas de page Car"/>
    <w:basedOn w:val="Policepardfaut"/>
    <w:link w:val="Notedebasdepage"/>
    <w:uiPriority w:val="99"/>
    <w:rsid w:val="00F92CAB"/>
    <w:rPr>
      <w:rFonts w:ascii="Calibri" w:eastAsia="Times New Roman" w:hAnsi="Calibri"/>
      <w:lang w:eastAsia="fr-FR"/>
    </w:rPr>
  </w:style>
  <w:style w:type="character" w:styleId="Appelnotedebasdep">
    <w:name w:val="footnote reference"/>
    <w:uiPriority w:val="99"/>
    <w:unhideWhenUsed/>
    <w:rsid w:val="00F92CAB"/>
    <w:rPr>
      <w:vertAlign w:val="superscript"/>
    </w:rPr>
  </w:style>
  <w:style w:type="paragraph" w:styleId="Paragraphedeliste">
    <w:name w:val="List Paragraph"/>
    <w:basedOn w:val="Normal"/>
    <w:uiPriority w:val="34"/>
    <w:qFormat/>
    <w:rsid w:val="008B3633"/>
    <w:pPr>
      <w:numPr>
        <w:ilvl w:val="4"/>
        <w:numId w:val="1"/>
      </w:numPr>
      <w:tabs>
        <w:tab w:val="center" w:pos="4536"/>
      </w:tabs>
      <w:ind w:left="1418" w:hanging="284"/>
      <w:contextualSpacing/>
    </w:pPr>
    <w:rPr>
      <w:rFonts w:ascii="Times New Roman" w:hAnsi="Times New Roman"/>
      <w:sz w:val="24"/>
      <w:szCs w:val="24"/>
    </w:rPr>
  </w:style>
  <w:style w:type="paragraph" w:styleId="En-tte">
    <w:name w:val="header"/>
    <w:basedOn w:val="Normal"/>
    <w:link w:val="En-tteCar"/>
    <w:uiPriority w:val="99"/>
    <w:unhideWhenUsed/>
    <w:rsid w:val="008B3633"/>
    <w:pPr>
      <w:tabs>
        <w:tab w:val="center" w:pos="4536"/>
        <w:tab w:val="right" w:pos="9072"/>
      </w:tabs>
    </w:pPr>
  </w:style>
  <w:style w:type="character" w:customStyle="1" w:styleId="En-tteCar">
    <w:name w:val="En-tête Car"/>
    <w:basedOn w:val="Policepardfaut"/>
    <w:link w:val="En-tte"/>
    <w:uiPriority w:val="99"/>
    <w:rsid w:val="008B3633"/>
    <w:rPr>
      <w:rFonts w:ascii="Calibri" w:eastAsia="Times New Roman" w:hAnsi="Calibri"/>
      <w:sz w:val="22"/>
      <w:szCs w:val="22"/>
      <w:lang w:eastAsia="fr-FR"/>
    </w:rPr>
  </w:style>
  <w:style w:type="character" w:styleId="Lienhypertexte">
    <w:name w:val="Hyperlink"/>
    <w:basedOn w:val="Policepardfaut"/>
    <w:uiPriority w:val="99"/>
    <w:unhideWhenUsed/>
    <w:rsid w:val="00B34F4D"/>
    <w:rPr>
      <w:color w:val="0000FF"/>
      <w:u w:val="single"/>
    </w:rPr>
  </w:style>
  <w:style w:type="table" w:styleId="Grilledutableau">
    <w:name w:val="Table Grid"/>
    <w:basedOn w:val="TableauNormal"/>
    <w:uiPriority w:val="59"/>
    <w:rsid w:val="000634A0"/>
    <w:pPr>
      <w:spacing w:before="0" w:after="0"/>
      <w:ind w:left="0" w:firstLine="0"/>
      <w:jc w:val="left"/>
    </w:pPr>
    <w:rPr>
      <w:rFonts w:asciiTheme="minorHAnsi" w:eastAsiaTheme="minorEastAsia" w:hAnsiTheme="minorHAnsi" w:cstheme="minorBidi"/>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925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5A6"/>
    <w:rPr>
      <w:rFonts w:ascii="Calibri" w:eastAsia="Times New Roman" w:hAnsi="Calibri"/>
      <w:sz w:val="22"/>
      <w:szCs w:val="22"/>
      <w:lang w:eastAsia="fr-FR"/>
    </w:rPr>
  </w:style>
  <w:style w:type="character" w:styleId="Numrodepage">
    <w:name w:val="page number"/>
    <w:basedOn w:val="Policepardfaut"/>
    <w:uiPriority w:val="99"/>
    <w:semiHidden/>
    <w:unhideWhenUsed/>
    <w:rsid w:val="00E9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870</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jean.beaujouan02@gmail.com</dc:creator>
  <cp:keywords/>
  <dc:description/>
  <cp:lastModifiedBy>jean.beaujouan02@gmail.com</cp:lastModifiedBy>
  <cp:revision>22</cp:revision>
  <dcterms:created xsi:type="dcterms:W3CDTF">2022-04-27T12:19:00Z</dcterms:created>
  <dcterms:modified xsi:type="dcterms:W3CDTF">2022-05-08T17:17:00Z</dcterms:modified>
  <cp:category/>
</cp:coreProperties>
</file>